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FD7250" w:rsidTr="00FC7EAC">
        <w:trPr>
          <w:cantSplit/>
          <w:trHeight w:val="542"/>
        </w:trPr>
        <w:tc>
          <w:tcPr>
            <w:tcW w:w="7488" w:type="dxa"/>
            <w:tcBorders>
              <w:top w:val="nil"/>
              <w:left w:val="nil"/>
              <w:bottom w:val="nil"/>
              <w:right w:val="nil"/>
            </w:tcBorders>
            <w:shd w:val="clear" w:color="auto" w:fill="D9D9D9"/>
          </w:tcPr>
          <w:p w:rsidRPr="00EC517B" w:rsidR="00FD7250" w:rsidP="005B06FB" w:rsidRDefault="0032106D">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mc:AlternateContent>
                <mc:Choice Requires="wps">
                  <w:drawing>
                    <wp:anchor distT="0" distB="0" distL="114300" distR="114300" simplePos="0" relativeHeight="251657728" behindDoc="0" locked="0" layoutInCell="1" allowOverlap="1" wp14:editId="34BE01B5" wp14:anchorId="48F3317A">
                      <wp:simplePos x="0" y="0"/>
                      <wp:positionH relativeFrom="column">
                        <wp:posOffset>4867275</wp:posOffset>
                      </wp:positionH>
                      <wp:positionV relativeFrom="paragraph">
                        <wp:posOffset>-1</wp:posOffset>
                      </wp:positionV>
                      <wp:extent cx="1051560" cy="1114425"/>
                      <wp:effectExtent l="0" t="0" r="15240" b="285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14425"/>
                              </a:xfrm>
                              <a:prstGeom prst="rect">
                                <a:avLst/>
                              </a:prstGeom>
                              <a:solidFill>
                                <a:srgbClr val="FFFFFF"/>
                              </a:solidFill>
                              <a:ln w="9525">
                                <a:solidFill>
                                  <a:srgbClr val="000000"/>
                                </a:solidFill>
                                <a:miter lim="800000"/>
                                <a:headEnd/>
                                <a:tailEnd/>
                              </a:ln>
                            </wps:spPr>
                            <wps:txbx>
                              <w:txbxContent>
                                <w:p w:rsidRPr="00C66AF0" w:rsidR="008D4B27" w:rsidP="008D4B27" w:rsidRDefault="008D4B27">
                                  <w:pPr>
                                    <w:jc w:val="center"/>
                                    <w:rPr>
                                      <w:b/>
                                      <w:sz w:val="16"/>
                                      <w:szCs w:val="16"/>
                                    </w:rPr>
                                  </w:pPr>
                                  <w:r w:rsidRPr="00C66AF0">
                                    <w:rPr>
                                      <w:b/>
                                      <w:sz w:val="16"/>
                                      <w:szCs w:val="16"/>
                                    </w:rPr>
                                    <w:t>PAPER MARKED</w:t>
                                  </w:r>
                                </w:p>
                                <w:p w:rsidRPr="007F7EE9" w:rsidR="008D4B27" w:rsidP="008D4B27" w:rsidRDefault="00DC4A72">
                                  <w:pPr>
                                    <w:pStyle w:val="BodyText"/>
                                    <w:jc w:val="center"/>
                                    <w:rPr>
                                      <w:rFonts w:ascii="Arial" w:hAnsi="Arial" w:cs="Arial"/>
                                      <w:sz w:val="144"/>
                                    </w:rPr>
                                  </w:pPr>
                                  <w:r>
                                    <w:rPr>
                                      <w:rFonts w:ascii="Arial" w:hAnsi="Arial" w:cs="Arial"/>
                                      <w:sz w:val="144"/>
                                    </w:rPr>
                                    <w:t>L</w:t>
                                  </w:r>
                                </w:p>
                                <w:p w:rsidR="008D4B27" w:rsidP="008D4B27" w:rsidRDefault="008D4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style="position:absolute;left:0;text-align:left;margin-left:383.25pt;margin-top:0;width:82.8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">
                      <v:textbox>
                        <w:txbxContent>
                          <w:p w:rsidRPr="00C66AF0" w:rsidR="008D4B27" w:rsidP="008D4B27" w:rsidRDefault="008D4B27">
                            <w:pPr>
                              <w:jc w:val="center"/>
                              <w:rPr>
                                <w:b/>
                                <w:sz w:val="16"/>
                                <w:szCs w:val="16"/>
                              </w:rPr>
                            </w:pPr>
                            <w:r w:rsidRPr="00C66AF0">
                              <w:rPr>
                                <w:b/>
                                <w:sz w:val="16"/>
                                <w:szCs w:val="16"/>
                              </w:rPr>
                              <w:t>PAPER MARKED</w:t>
                            </w:r>
                          </w:p>
                          <w:p w:rsidRPr="007F7EE9" w:rsidR="008D4B27" w:rsidP="008D4B27" w:rsidRDefault="00DC4A72">
                            <w:pPr>
                              <w:pStyle w:val="BodyText"/>
                              <w:jc w:val="center"/>
                              <w:rPr>
                                <w:rFonts w:ascii="Arial" w:hAnsi="Arial" w:cs="Arial"/>
                                <w:sz w:val="144"/>
                              </w:rPr>
                            </w:pPr>
                            <w:r>
                              <w:rPr>
                                <w:rFonts w:ascii="Arial" w:hAnsi="Arial" w:cs="Arial"/>
                                <w:sz w:val="144"/>
                              </w:rPr>
                              <w:t>L</w:t>
                            </w:r>
                            <w:bookmarkStart w:name="_GoBack" w:id="1"/>
                            <w:bookmarkEnd w:id="1"/>
                          </w:p>
                          <w:p w:rsidR="008D4B27" w:rsidP="008D4B27" w:rsidRDefault="008D4B27"/>
                        </w:txbxContent>
                      </v:textbox>
                    </v:shape>
                  </w:pict>
                </mc:Fallback>
              </mc:AlternateContent>
            </w:r>
            <w:r w:rsidRPr="00EC517B" w:rsidR="008D4B27">
              <w:rPr>
                <w:rFonts w:ascii="Arial" w:hAnsi="Arial" w:cs="Arial"/>
                <w:noProof/>
                <w:spacing w:val="26"/>
                <w:sz w:val="40"/>
                <w:szCs w:val="40"/>
                <w:u w:val="none"/>
                <w:lang w:eastAsia="en-GB"/>
              </w:rPr>
              <w:t>POLICE &amp; CRIME COMMISSIONER</w:t>
            </w:r>
            <w:r w:rsidRPr="00EC517B" w:rsidR="00EC517B">
              <w:rPr>
                <w:rFonts w:ascii="Arial" w:hAnsi="Arial" w:cs="Arial"/>
                <w:noProof/>
                <w:spacing w:val="26"/>
                <w:sz w:val="40"/>
                <w:szCs w:val="40"/>
                <w:u w:val="none"/>
                <w:lang w:eastAsia="en-GB"/>
              </w:rPr>
              <w:t xml:space="preserve"> FOR LEICESTERSHIRE</w:t>
            </w:r>
          </w:p>
        </w:tc>
      </w:tr>
      <w:tr w:rsidRPr="00B47FD5" w:rsidR="008D4B27" w:rsidTr="00FC7EAC">
        <w:trPr>
          <w:cantSplit/>
          <w:trHeight w:val="542"/>
        </w:trPr>
        <w:tc>
          <w:tcPr>
            <w:tcW w:w="7488" w:type="dxa"/>
            <w:tcBorders>
              <w:top w:val="nil"/>
              <w:left w:val="nil"/>
              <w:bottom w:val="nil"/>
              <w:right w:val="nil"/>
            </w:tcBorders>
            <w:shd w:val="clear" w:color="auto" w:fill="D9D9D9"/>
          </w:tcPr>
          <w:p w:rsidRPr="00EC517B" w:rsidR="008D4B27" w:rsidP="008D4B27" w:rsidRDefault="008D4B27">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FC7EAC" w:rsidR="008D4B27" w:rsidP="008D4B27" w:rsidRDefault="008D4B27">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Pr="00B47FD5" w:rsidR="00FD7250" w:rsidP="00FD7250" w:rsidRDefault="00FD7250">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pPr>
              <w:pStyle w:val="Heading6"/>
              <w:rPr>
                <w:rFonts w:ascii="Arial" w:hAnsi="Arial" w:cs="Arial"/>
                <w:szCs w:val="22"/>
              </w:rPr>
            </w:pPr>
            <w:r>
              <w:rPr>
                <w:rFonts w:ascii="Arial" w:hAnsi="Arial" w:cs="Arial"/>
                <w:szCs w:val="22"/>
              </w:rPr>
              <w:t>OFFICE OF</w:t>
            </w:r>
            <w:r w:rsidR="00C20F40">
              <w:rPr>
                <w:rFonts w:ascii="Arial" w:hAnsi="Arial" w:cs="Arial"/>
                <w:szCs w:val="22"/>
              </w:rPr>
              <w:t xml:space="preserve"> POLICE AND CRIME COMMISSIONER</w:t>
            </w:r>
            <w:r>
              <w:rPr>
                <w:rFonts w:ascii="Arial" w:hAnsi="Arial" w:cs="Arial"/>
                <w:szCs w:val="22"/>
              </w:rPr>
              <w:t xml:space="preserve"> </w:t>
            </w:r>
          </w:p>
          <w:p w:rsidRPr="00B47FD5" w:rsidR="00FD7250" w:rsidP="005B06FB" w:rsidRDefault="00FD7250">
            <w:pPr>
              <w:rPr>
                <w:rFonts w:ascii="Arial" w:hAnsi="Arial" w:cs="Arial"/>
                <w:b/>
                <w:sz w:val="22"/>
                <w:szCs w:val="22"/>
              </w:rPr>
            </w:pPr>
          </w:p>
        </w:tc>
      </w:tr>
      <w:tr w:rsidRPr="00066E59" w:rsidR="00FD7250" w:rsidTr="005B06FB">
        <w:tc>
          <w:tcPr>
            <w:tcW w:w="1809" w:type="dxa"/>
            <w:shd w:val="clear" w:color="auto" w:fill="D9D9D9"/>
          </w:tcPr>
          <w:p w:rsidRPr="00066E59" w:rsidR="00FD7250" w:rsidP="005B06FB" w:rsidRDefault="00FD7250">
            <w:pPr>
              <w:rPr>
                <w:rFonts w:ascii="Arial" w:hAnsi="Arial" w:cs="Arial"/>
                <w:sz w:val="22"/>
                <w:szCs w:val="22"/>
              </w:rPr>
            </w:pPr>
            <w:r w:rsidRPr="00066E59">
              <w:rPr>
                <w:rFonts w:ascii="Arial" w:hAnsi="Arial" w:cs="Arial"/>
                <w:sz w:val="22"/>
                <w:szCs w:val="22"/>
              </w:rPr>
              <w:t>Subject</w:t>
            </w:r>
          </w:p>
        </w:tc>
        <w:tc>
          <w:tcPr>
            <w:tcW w:w="7705" w:type="dxa"/>
          </w:tcPr>
          <w:p w:rsidRPr="00066E59" w:rsidR="00FD7250" w:rsidP="00FC120A" w:rsidRDefault="009A259D">
            <w:pPr>
              <w:pStyle w:val="Heading6"/>
              <w:rPr>
                <w:rFonts w:ascii="Arial" w:hAnsi="Arial" w:cs="Arial"/>
                <w:szCs w:val="22"/>
              </w:rPr>
            </w:pPr>
            <w:r w:rsidRPr="00066E59">
              <w:rPr>
                <w:rFonts w:ascii="Arial" w:hAnsi="Arial" w:cs="Arial"/>
                <w:szCs w:val="22"/>
              </w:rPr>
              <w:t>PART</w:t>
            </w:r>
            <w:r w:rsidR="00DC0A7F">
              <w:rPr>
                <w:rFonts w:ascii="Arial" w:hAnsi="Arial" w:cs="Arial"/>
                <w:szCs w:val="22"/>
              </w:rPr>
              <w:t>N</w:t>
            </w:r>
            <w:r w:rsidRPr="00066E59">
              <w:rPr>
                <w:rFonts w:ascii="Arial" w:hAnsi="Arial" w:cs="Arial"/>
                <w:szCs w:val="22"/>
              </w:rPr>
              <w:t xml:space="preserve">ERSHIPS AND </w:t>
            </w:r>
            <w:r w:rsidRPr="00066E59" w:rsidR="007243B4">
              <w:rPr>
                <w:rFonts w:ascii="Arial" w:hAnsi="Arial" w:cs="Arial"/>
                <w:szCs w:val="22"/>
              </w:rPr>
              <w:t>COMMISSIONING UPDATE</w:t>
            </w:r>
          </w:p>
          <w:p w:rsidRPr="00066E59" w:rsidR="007243B4" w:rsidP="007243B4" w:rsidRDefault="007243B4"/>
        </w:tc>
      </w:tr>
      <w:tr w:rsidRPr="00066E59" w:rsidR="00FD7250" w:rsidTr="005B06FB">
        <w:tc>
          <w:tcPr>
            <w:tcW w:w="1809" w:type="dxa"/>
            <w:shd w:val="clear" w:color="auto" w:fill="D9D9D9"/>
          </w:tcPr>
          <w:p w:rsidRPr="00066E59" w:rsidR="00FD7250" w:rsidP="005B06FB" w:rsidRDefault="00FD7250">
            <w:pPr>
              <w:rPr>
                <w:rFonts w:ascii="Arial" w:hAnsi="Arial" w:cs="Arial"/>
                <w:sz w:val="22"/>
                <w:szCs w:val="22"/>
              </w:rPr>
            </w:pPr>
            <w:r w:rsidRPr="00066E59">
              <w:rPr>
                <w:rFonts w:ascii="Arial" w:hAnsi="Arial" w:cs="Arial"/>
                <w:sz w:val="22"/>
                <w:szCs w:val="22"/>
              </w:rPr>
              <w:t>Date</w:t>
            </w:r>
          </w:p>
        </w:tc>
        <w:tc>
          <w:tcPr>
            <w:tcW w:w="7705" w:type="dxa"/>
          </w:tcPr>
          <w:p w:rsidRPr="00066E59" w:rsidR="00FD7250" w:rsidP="005B06FB" w:rsidRDefault="007243B4">
            <w:pPr>
              <w:rPr>
                <w:rFonts w:ascii="Arial" w:hAnsi="Arial" w:cs="Arial"/>
                <w:b/>
                <w:sz w:val="22"/>
                <w:szCs w:val="22"/>
              </w:rPr>
            </w:pPr>
            <w:r w:rsidRPr="00066E59">
              <w:rPr>
                <w:rFonts w:ascii="Arial" w:hAnsi="Arial" w:cs="Arial"/>
                <w:b/>
                <w:sz w:val="22"/>
                <w:szCs w:val="22"/>
              </w:rPr>
              <w:t xml:space="preserve">FRIDAY </w:t>
            </w:r>
            <w:r w:rsidRPr="00066E59" w:rsidR="00216624">
              <w:rPr>
                <w:rFonts w:ascii="Arial" w:hAnsi="Arial" w:cs="Arial"/>
                <w:b/>
                <w:sz w:val="22"/>
                <w:szCs w:val="22"/>
              </w:rPr>
              <w:t>3 JUNE 2015</w:t>
            </w:r>
            <w:r w:rsidRPr="00066E59">
              <w:rPr>
                <w:rFonts w:ascii="Arial" w:hAnsi="Arial" w:cs="Arial"/>
                <w:b/>
                <w:sz w:val="22"/>
                <w:szCs w:val="22"/>
              </w:rPr>
              <w:t xml:space="preserve"> </w:t>
            </w:r>
            <w:r w:rsidR="00727594">
              <w:rPr>
                <w:rFonts w:ascii="Arial" w:hAnsi="Arial" w:cs="Arial"/>
                <w:b/>
                <w:sz w:val="22"/>
                <w:szCs w:val="22"/>
              </w:rPr>
              <w:t>– 9:30 A.M.</w:t>
            </w:r>
          </w:p>
          <w:p w:rsidRPr="00066E59" w:rsidR="007243B4" w:rsidP="005B06FB" w:rsidRDefault="007243B4">
            <w:pPr>
              <w:rPr>
                <w:rFonts w:ascii="Arial" w:hAnsi="Arial" w:cs="Arial"/>
                <w:b/>
                <w:sz w:val="22"/>
                <w:szCs w:val="22"/>
              </w:rPr>
            </w:pPr>
          </w:p>
        </w:tc>
      </w:tr>
      <w:tr w:rsidRPr="00066E59" w:rsidR="00FD7250" w:rsidTr="005B06FB">
        <w:tc>
          <w:tcPr>
            <w:tcW w:w="1809" w:type="dxa"/>
            <w:shd w:val="clear" w:color="auto" w:fill="D9D9D9"/>
          </w:tcPr>
          <w:p w:rsidRPr="00066E59" w:rsidR="00FD7250" w:rsidP="005B06FB" w:rsidRDefault="003C4560">
            <w:pPr>
              <w:rPr>
                <w:rFonts w:ascii="Arial" w:hAnsi="Arial" w:cs="Arial"/>
                <w:sz w:val="22"/>
                <w:szCs w:val="22"/>
              </w:rPr>
            </w:pPr>
            <w:r>
              <w:rPr>
                <w:rFonts w:ascii="Arial" w:hAnsi="Arial" w:cs="Arial"/>
                <w:sz w:val="22"/>
                <w:szCs w:val="22"/>
              </w:rPr>
              <w:t xml:space="preserve">Author </w:t>
            </w:r>
          </w:p>
          <w:p w:rsidRPr="00066E59" w:rsidR="00FD7250" w:rsidP="005B06FB" w:rsidRDefault="00FD7250">
            <w:pPr>
              <w:rPr>
                <w:rFonts w:ascii="Arial" w:hAnsi="Arial" w:cs="Arial"/>
                <w:sz w:val="22"/>
                <w:szCs w:val="22"/>
              </w:rPr>
            </w:pPr>
          </w:p>
        </w:tc>
        <w:tc>
          <w:tcPr>
            <w:tcW w:w="7705" w:type="dxa"/>
          </w:tcPr>
          <w:p w:rsidRPr="00066E59" w:rsidR="00FD7250" w:rsidP="00FC120A" w:rsidRDefault="009A259D">
            <w:pPr>
              <w:pStyle w:val="Heading6"/>
              <w:rPr>
                <w:rFonts w:ascii="Arial" w:hAnsi="Arial" w:cs="Arial"/>
                <w:szCs w:val="22"/>
              </w:rPr>
            </w:pPr>
            <w:r w:rsidRPr="00066E59">
              <w:rPr>
                <w:rFonts w:ascii="Arial" w:hAnsi="Arial" w:cs="Arial"/>
                <w:szCs w:val="22"/>
              </w:rPr>
              <w:t>HEAD OF PARTNERSHIPS AND COMMISSIONING</w:t>
            </w:r>
          </w:p>
        </w:tc>
      </w:tr>
    </w:tbl>
    <w:p w:rsidRPr="00B47FD5" w:rsidR="00FD7250" w:rsidP="00FD7250" w:rsidRDefault="00FD7250">
      <w:pPr>
        <w:ind w:left="720" w:firstLine="720"/>
        <w:rPr>
          <w:rFonts w:ascii="Arial" w:hAnsi="Arial" w:cs="Arial"/>
          <w:b/>
          <w:sz w:val="22"/>
          <w:szCs w:val="22"/>
        </w:rPr>
      </w:pPr>
    </w:p>
    <w:p w:rsidRPr="00B47FD5" w:rsidR="00FD7250" w:rsidP="003C4560" w:rsidRDefault="00FD7250">
      <w:pPr>
        <w:pStyle w:val="Heading3"/>
        <w:rPr>
          <w:rFonts w:ascii="Arial" w:hAnsi="Arial" w:cs="Arial"/>
          <w:sz w:val="22"/>
          <w:szCs w:val="22"/>
        </w:rPr>
      </w:pPr>
      <w:r>
        <w:rPr>
          <w:rFonts w:ascii="Arial" w:hAnsi="Arial" w:cs="Arial"/>
          <w:sz w:val="22"/>
          <w:szCs w:val="22"/>
        </w:rPr>
        <w:t>Purpose of Report</w:t>
      </w:r>
    </w:p>
    <w:p w:rsidRPr="009A259D" w:rsidR="00FD7250" w:rsidP="003C4560" w:rsidRDefault="00FD7250">
      <w:pPr>
        <w:rPr>
          <w:rFonts w:ascii="Arial" w:hAnsi="Arial" w:cs="Arial"/>
          <w:color w:val="FF0000"/>
          <w:sz w:val="22"/>
          <w:szCs w:val="22"/>
        </w:rPr>
      </w:pPr>
    </w:p>
    <w:p w:rsidRPr="00997C66" w:rsidR="007243B4" w:rsidP="003C4560" w:rsidRDefault="00FD7250">
      <w:pPr>
        <w:pStyle w:val="Header"/>
        <w:numPr>
          <w:ilvl w:val="0"/>
          <w:numId w:val="1"/>
        </w:numPr>
        <w:tabs>
          <w:tab w:val="clear" w:pos="4153"/>
          <w:tab w:val="clear" w:pos="8306"/>
        </w:tabs>
        <w:rPr>
          <w:rFonts w:ascii="Arial" w:hAnsi="Arial" w:cs="Arial"/>
          <w:sz w:val="22"/>
          <w:szCs w:val="22"/>
        </w:rPr>
      </w:pPr>
      <w:r w:rsidRPr="00997C66">
        <w:rPr>
          <w:rFonts w:ascii="Arial" w:hAnsi="Arial" w:cs="Arial"/>
          <w:sz w:val="22"/>
          <w:szCs w:val="22"/>
        </w:rPr>
        <w:t xml:space="preserve">This report </w:t>
      </w:r>
      <w:r w:rsidRPr="00997C66" w:rsidR="00997C66">
        <w:rPr>
          <w:rFonts w:ascii="Arial" w:hAnsi="Arial" w:cs="Arial"/>
          <w:sz w:val="22"/>
          <w:szCs w:val="22"/>
        </w:rPr>
        <w:t>outlines</w:t>
      </w:r>
      <w:r w:rsidRPr="00997C66" w:rsidR="00216624">
        <w:rPr>
          <w:rFonts w:ascii="Arial" w:hAnsi="Arial" w:cs="Arial"/>
          <w:sz w:val="22"/>
          <w:szCs w:val="22"/>
        </w:rPr>
        <w:t xml:space="preserve"> progress in relation to partnerships and </w:t>
      </w:r>
      <w:r w:rsidRPr="00997C66" w:rsidR="00997C66">
        <w:rPr>
          <w:rFonts w:ascii="Arial" w:hAnsi="Arial" w:cs="Arial"/>
          <w:sz w:val="22"/>
          <w:szCs w:val="22"/>
        </w:rPr>
        <w:t>c</w:t>
      </w:r>
      <w:r w:rsidRPr="00997C66" w:rsidR="00216624">
        <w:rPr>
          <w:rFonts w:ascii="Arial" w:hAnsi="Arial" w:cs="Arial"/>
          <w:sz w:val="22"/>
          <w:szCs w:val="22"/>
        </w:rPr>
        <w:t xml:space="preserve">ommissioning since the last report to the Panel in December 2014.  </w:t>
      </w:r>
      <w:r w:rsidRPr="00997C66" w:rsidR="007243B4">
        <w:rPr>
          <w:rFonts w:ascii="Arial" w:hAnsi="Arial" w:cs="Arial"/>
          <w:sz w:val="22"/>
          <w:szCs w:val="22"/>
        </w:rPr>
        <w:t xml:space="preserve"> </w:t>
      </w:r>
      <w:r w:rsidRPr="00997C66" w:rsidR="00997C66">
        <w:rPr>
          <w:rFonts w:ascii="Arial" w:hAnsi="Arial" w:cs="Arial"/>
          <w:sz w:val="22"/>
          <w:szCs w:val="22"/>
        </w:rPr>
        <w:t>It</w:t>
      </w:r>
      <w:r w:rsidRPr="00997C66" w:rsidR="007243B4">
        <w:rPr>
          <w:rFonts w:ascii="Arial" w:hAnsi="Arial" w:cs="Arial"/>
          <w:sz w:val="22"/>
          <w:szCs w:val="22"/>
        </w:rPr>
        <w:t xml:space="preserve"> </w:t>
      </w:r>
      <w:r w:rsidR="00997C66">
        <w:rPr>
          <w:rFonts w:ascii="Arial" w:hAnsi="Arial" w:cs="Arial"/>
          <w:sz w:val="22"/>
          <w:szCs w:val="22"/>
        </w:rPr>
        <w:t xml:space="preserve">provides an </w:t>
      </w:r>
      <w:r w:rsidRPr="00997C66" w:rsidR="007243B4">
        <w:rPr>
          <w:rFonts w:ascii="Arial" w:hAnsi="Arial" w:cs="Arial"/>
          <w:sz w:val="22"/>
          <w:szCs w:val="22"/>
        </w:rPr>
        <w:t xml:space="preserve">update </w:t>
      </w:r>
      <w:r w:rsidR="00997C66">
        <w:rPr>
          <w:rFonts w:ascii="Arial" w:hAnsi="Arial" w:cs="Arial"/>
          <w:sz w:val="22"/>
          <w:szCs w:val="22"/>
        </w:rPr>
        <w:t xml:space="preserve">to </w:t>
      </w:r>
      <w:r w:rsidRPr="00997C66" w:rsidR="007243B4">
        <w:rPr>
          <w:rFonts w:ascii="Arial" w:hAnsi="Arial" w:cs="Arial"/>
          <w:sz w:val="22"/>
          <w:szCs w:val="22"/>
        </w:rPr>
        <w:t xml:space="preserve">the Panel on </w:t>
      </w:r>
      <w:r w:rsidRPr="00997C66" w:rsidR="00AC398B">
        <w:rPr>
          <w:rFonts w:ascii="Arial" w:hAnsi="Arial" w:cs="Arial"/>
          <w:sz w:val="22"/>
          <w:szCs w:val="22"/>
        </w:rPr>
        <w:t xml:space="preserve">the OPCC restructure, commissioning </w:t>
      </w:r>
      <w:r w:rsidRPr="00997C66" w:rsidR="002D1CB7">
        <w:rPr>
          <w:rFonts w:ascii="Arial" w:hAnsi="Arial" w:cs="Arial"/>
          <w:sz w:val="22"/>
          <w:szCs w:val="22"/>
        </w:rPr>
        <w:t>activity</w:t>
      </w:r>
      <w:r w:rsidRPr="00997C66" w:rsidR="00AC398B">
        <w:rPr>
          <w:rFonts w:ascii="Arial" w:hAnsi="Arial" w:cs="Arial"/>
          <w:sz w:val="22"/>
          <w:szCs w:val="22"/>
        </w:rPr>
        <w:t xml:space="preserve">, </w:t>
      </w:r>
      <w:proofErr w:type="gramStart"/>
      <w:r w:rsidRPr="00997C66" w:rsidR="00AC398B">
        <w:rPr>
          <w:rFonts w:ascii="Arial" w:hAnsi="Arial" w:cs="Arial"/>
          <w:sz w:val="22"/>
          <w:szCs w:val="22"/>
        </w:rPr>
        <w:t>the</w:t>
      </w:r>
      <w:proofErr w:type="gramEnd"/>
      <w:r w:rsidRPr="00997C66" w:rsidR="00AC398B">
        <w:rPr>
          <w:rFonts w:ascii="Arial" w:hAnsi="Arial" w:cs="Arial"/>
          <w:sz w:val="22"/>
          <w:szCs w:val="22"/>
        </w:rPr>
        <w:t xml:space="preserve"> </w:t>
      </w:r>
      <w:r w:rsidRPr="00997C66" w:rsidR="002D1CB7">
        <w:rPr>
          <w:rFonts w:ascii="Arial" w:hAnsi="Arial" w:cs="Arial"/>
          <w:sz w:val="22"/>
          <w:szCs w:val="22"/>
        </w:rPr>
        <w:t>Commissioning Audit</w:t>
      </w:r>
      <w:r w:rsidRPr="00997C66" w:rsidR="00AC398B">
        <w:rPr>
          <w:rFonts w:ascii="Arial" w:hAnsi="Arial" w:cs="Arial"/>
          <w:sz w:val="22"/>
          <w:szCs w:val="22"/>
        </w:rPr>
        <w:t xml:space="preserve"> and </w:t>
      </w:r>
      <w:r w:rsidRPr="00997C66" w:rsidR="00997C66">
        <w:rPr>
          <w:rFonts w:ascii="Arial" w:hAnsi="Arial" w:cs="Arial"/>
          <w:sz w:val="22"/>
          <w:szCs w:val="22"/>
        </w:rPr>
        <w:t xml:space="preserve">Strategic Partnership Board developments. </w:t>
      </w:r>
    </w:p>
    <w:p w:rsidR="003C4560" w:rsidP="003C4560" w:rsidRDefault="003C4560">
      <w:pPr>
        <w:pStyle w:val="Header"/>
        <w:tabs>
          <w:tab w:val="clear" w:pos="4153"/>
          <w:tab w:val="clear" w:pos="8306"/>
        </w:tabs>
        <w:rPr>
          <w:rFonts w:ascii="Arial" w:hAnsi="Arial" w:cs="Arial"/>
          <w:b/>
          <w:sz w:val="22"/>
          <w:szCs w:val="22"/>
          <w:u w:val="single"/>
        </w:rPr>
      </w:pPr>
    </w:p>
    <w:p w:rsidRPr="00997C66" w:rsidR="00FD7250" w:rsidP="003C4560" w:rsidRDefault="00FD7250">
      <w:pPr>
        <w:pStyle w:val="Header"/>
        <w:tabs>
          <w:tab w:val="clear" w:pos="4153"/>
          <w:tab w:val="clear" w:pos="8306"/>
        </w:tabs>
        <w:rPr>
          <w:rFonts w:ascii="Arial" w:hAnsi="Arial" w:cs="Arial"/>
          <w:b/>
          <w:sz w:val="22"/>
          <w:szCs w:val="22"/>
          <w:u w:val="single"/>
        </w:rPr>
      </w:pPr>
      <w:r w:rsidRPr="00997C66">
        <w:rPr>
          <w:rFonts w:ascii="Arial" w:hAnsi="Arial" w:cs="Arial"/>
          <w:b/>
          <w:sz w:val="22"/>
          <w:szCs w:val="22"/>
          <w:u w:val="single"/>
        </w:rPr>
        <w:t>Recommendation</w:t>
      </w:r>
    </w:p>
    <w:p w:rsidRPr="00997C66" w:rsidR="00FD7250" w:rsidP="003C4560" w:rsidRDefault="00FD7250">
      <w:pPr>
        <w:pStyle w:val="Header"/>
        <w:tabs>
          <w:tab w:val="clear" w:pos="4153"/>
          <w:tab w:val="clear" w:pos="8306"/>
        </w:tabs>
        <w:rPr>
          <w:rFonts w:ascii="Arial" w:hAnsi="Arial" w:cs="Arial"/>
          <w:sz w:val="22"/>
          <w:szCs w:val="22"/>
        </w:rPr>
      </w:pPr>
    </w:p>
    <w:p w:rsidRPr="00997C66" w:rsidR="00F54D83" w:rsidP="003C4560" w:rsidRDefault="00FD7250">
      <w:pPr>
        <w:pStyle w:val="Header"/>
        <w:numPr>
          <w:ilvl w:val="0"/>
          <w:numId w:val="1"/>
        </w:numPr>
        <w:tabs>
          <w:tab w:val="clear" w:pos="4153"/>
          <w:tab w:val="clear" w:pos="8306"/>
        </w:tabs>
        <w:rPr>
          <w:rFonts w:ascii="Arial" w:hAnsi="Arial" w:cs="Arial"/>
          <w:sz w:val="22"/>
          <w:szCs w:val="22"/>
        </w:rPr>
      </w:pPr>
      <w:r w:rsidRPr="00997C66">
        <w:rPr>
          <w:rFonts w:ascii="Arial" w:hAnsi="Arial" w:cs="Arial"/>
          <w:sz w:val="22"/>
          <w:szCs w:val="22"/>
        </w:rPr>
        <w:t xml:space="preserve">The </w:t>
      </w:r>
      <w:r w:rsidRPr="00997C66" w:rsidR="00FC7EAC">
        <w:rPr>
          <w:rFonts w:ascii="Arial" w:hAnsi="Arial" w:cs="Arial"/>
          <w:sz w:val="22"/>
          <w:szCs w:val="22"/>
        </w:rPr>
        <w:t>Panel are</w:t>
      </w:r>
      <w:r w:rsidRPr="00997C66">
        <w:rPr>
          <w:rFonts w:ascii="Arial" w:hAnsi="Arial" w:cs="Arial"/>
          <w:sz w:val="22"/>
          <w:szCs w:val="22"/>
        </w:rPr>
        <w:t xml:space="preserve"> recommended to</w:t>
      </w:r>
      <w:r w:rsidRPr="00997C66" w:rsidR="009201E4">
        <w:rPr>
          <w:rFonts w:ascii="Arial" w:hAnsi="Arial" w:cs="Arial"/>
          <w:sz w:val="22"/>
          <w:szCs w:val="22"/>
        </w:rPr>
        <w:t xml:space="preserve"> </w:t>
      </w:r>
      <w:r w:rsidRPr="00997C66" w:rsidR="007243B4">
        <w:rPr>
          <w:rFonts w:ascii="Arial" w:hAnsi="Arial" w:cs="Arial"/>
          <w:sz w:val="22"/>
          <w:szCs w:val="22"/>
        </w:rPr>
        <w:t xml:space="preserve">discuss and </w:t>
      </w:r>
      <w:r w:rsidRPr="00997C66" w:rsidR="00C20F40">
        <w:rPr>
          <w:rFonts w:ascii="Arial" w:hAnsi="Arial" w:cs="Arial"/>
          <w:sz w:val="22"/>
          <w:szCs w:val="22"/>
        </w:rPr>
        <w:t xml:space="preserve">note </w:t>
      </w:r>
      <w:r w:rsidRPr="00997C66" w:rsidR="007243B4">
        <w:rPr>
          <w:rFonts w:ascii="Arial" w:hAnsi="Arial" w:cs="Arial"/>
          <w:sz w:val="22"/>
          <w:szCs w:val="22"/>
        </w:rPr>
        <w:t xml:space="preserve">the </w:t>
      </w:r>
      <w:r w:rsidRPr="00997C66" w:rsidR="00172084">
        <w:rPr>
          <w:rFonts w:ascii="Arial" w:hAnsi="Arial" w:cs="Arial"/>
          <w:sz w:val="22"/>
          <w:szCs w:val="22"/>
        </w:rPr>
        <w:t>contents of the report.</w:t>
      </w:r>
    </w:p>
    <w:p w:rsidRPr="00997C66" w:rsidR="00172084" w:rsidP="003C4560" w:rsidRDefault="00172084">
      <w:pPr>
        <w:pStyle w:val="Header"/>
        <w:tabs>
          <w:tab w:val="clear" w:pos="4153"/>
          <w:tab w:val="clear" w:pos="8306"/>
        </w:tabs>
        <w:rPr>
          <w:rFonts w:ascii="Arial" w:hAnsi="Arial" w:cs="Arial"/>
          <w:b/>
          <w:sz w:val="22"/>
          <w:szCs w:val="22"/>
          <w:u w:val="single"/>
        </w:rPr>
      </w:pPr>
    </w:p>
    <w:p w:rsidRPr="00997C66" w:rsidR="00172084" w:rsidP="003C4560" w:rsidRDefault="00172084">
      <w:pPr>
        <w:pStyle w:val="Header"/>
        <w:tabs>
          <w:tab w:val="clear" w:pos="4153"/>
          <w:tab w:val="clear" w:pos="8306"/>
        </w:tabs>
        <w:rPr>
          <w:rFonts w:ascii="Arial" w:hAnsi="Arial" w:cs="Arial"/>
          <w:b/>
          <w:sz w:val="22"/>
          <w:szCs w:val="22"/>
          <w:u w:val="single"/>
        </w:rPr>
      </w:pPr>
      <w:r w:rsidRPr="00997C66">
        <w:rPr>
          <w:rFonts w:ascii="Arial" w:hAnsi="Arial" w:cs="Arial"/>
          <w:b/>
          <w:sz w:val="22"/>
          <w:szCs w:val="22"/>
          <w:u w:val="single"/>
        </w:rPr>
        <w:t>OPCC Restructure</w:t>
      </w:r>
    </w:p>
    <w:p w:rsidRPr="00997C66" w:rsidR="00172084" w:rsidP="003C4560" w:rsidRDefault="00172084">
      <w:pPr>
        <w:pStyle w:val="ListParagraph"/>
        <w:rPr>
          <w:rFonts w:ascii="Arial" w:hAnsi="Arial" w:cs="Arial"/>
          <w:sz w:val="22"/>
          <w:szCs w:val="22"/>
        </w:rPr>
      </w:pPr>
    </w:p>
    <w:p w:rsidRPr="00997C66" w:rsidR="00172084" w:rsidP="003C4560" w:rsidRDefault="00172084">
      <w:pPr>
        <w:pStyle w:val="Header"/>
        <w:numPr>
          <w:ilvl w:val="0"/>
          <w:numId w:val="1"/>
        </w:numPr>
        <w:tabs>
          <w:tab w:val="clear" w:pos="4153"/>
          <w:tab w:val="clear" w:pos="8306"/>
        </w:tabs>
        <w:rPr>
          <w:rFonts w:ascii="Arial" w:hAnsi="Arial" w:cs="Arial"/>
          <w:sz w:val="22"/>
          <w:szCs w:val="22"/>
        </w:rPr>
      </w:pPr>
      <w:r w:rsidRPr="00997C66">
        <w:rPr>
          <w:rFonts w:ascii="Arial" w:hAnsi="Arial" w:cs="Arial"/>
          <w:sz w:val="22"/>
          <w:szCs w:val="22"/>
        </w:rPr>
        <w:t xml:space="preserve">Further to the last update, the new Partnerships and Commissioning Team is now fully resourced with </w:t>
      </w:r>
      <w:r w:rsidRPr="00997C66" w:rsidR="00066E59">
        <w:rPr>
          <w:rFonts w:ascii="Arial" w:hAnsi="Arial" w:cs="Arial"/>
          <w:sz w:val="22"/>
          <w:szCs w:val="22"/>
        </w:rPr>
        <w:t xml:space="preserve">recent </w:t>
      </w:r>
      <w:r w:rsidRPr="00997C66">
        <w:rPr>
          <w:rFonts w:ascii="Arial" w:hAnsi="Arial" w:cs="Arial"/>
          <w:sz w:val="22"/>
          <w:szCs w:val="22"/>
        </w:rPr>
        <w:t>appointments to the following posts:</w:t>
      </w:r>
    </w:p>
    <w:p w:rsidRPr="00997C66" w:rsidR="00172084" w:rsidP="003C4560" w:rsidRDefault="00172084">
      <w:pPr>
        <w:pStyle w:val="Header"/>
        <w:tabs>
          <w:tab w:val="clear" w:pos="4153"/>
          <w:tab w:val="clear" w:pos="8306"/>
        </w:tabs>
        <w:rPr>
          <w:rFonts w:ascii="Arial" w:hAnsi="Arial" w:cs="Arial"/>
          <w:sz w:val="22"/>
          <w:szCs w:val="22"/>
        </w:rPr>
      </w:pPr>
    </w:p>
    <w:p w:rsidRPr="00997C66" w:rsidR="00172084" w:rsidP="003C4560" w:rsidRDefault="00172084">
      <w:pPr>
        <w:pStyle w:val="Header"/>
        <w:numPr>
          <w:ilvl w:val="0"/>
          <w:numId w:val="9"/>
        </w:numPr>
        <w:tabs>
          <w:tab w:val="clear" w:pos="4153"/>
          <w:tab w:val="clear" w:pos="8306"/>
        </w:tabs>
        <w:rPr>
          <w:rFonts w:ascii="Arial" w:hAnsi="Arial" w:cs="Arial"/>
          <w:sz w:val="22"/>
          <w:szCs w:val="22"/>
        </w:rPr>
      </w:pPr>
      <w:r w:rsidRPr="00997C66">
        <w:rPr>
          <w:rFonts w:ascii="Arial" w:hAnsi="Arial" w:cs="Arial"/>
          <w:sz w:val="22"/>
          <w:szCs w:val="22"/>
        </w:rPr>
        <w:t>Commissioning Manager – Simon Down</w:t>
      </w:r>
    </w:p>
    <w:p w:rsidRPr="00997C66" w:rsidR="00172084" w:rsidP="003C4560" w:rsidRDefault="00172084">
      <w:pPr>
        <w:pStyle w:val="Header"/>
        <w:numPr>
          <w:ilvl w:val="0"/>
          <w:numId w:val="9"/>
        </w:numPr>
        <w:tabs>
          <w:tab w:val="clear" w:pos="4153"/>
          <w:tab w:val="clear" w:pos="8306"/>
        </w:tabs>
        <w:rPr>
          <w:rFonts w:ascii="Arial" w:hAnsi="Arial" w:cs="Arial"/>
          <w:sz w:val="22"/>
          <w:szCs w:val="22"/>
        </w:rPr>
      </w:pPr>
      <w:r w:rsidRPr="00997C66">
        <w:rPr>
          <w:rFonts w:ascii="Arial" w:hAnsi="Arial" w:cs="Arial"/>
          <w:sz w:val="22"/>
          <w:szCs w:val="22"/>
        </w:rPr>
        <w:t>Commissioning &amp; Contract Support Officer – Liz McDermott</w:t>
      </w:r>
    </w:p>
    <w:p w:rsidRPr="00997C66" w:rsidR="00172084" w:rsidP="003C4560" w:rsidRDefault="00172084">
      <w:pPr>
        <w:pStyle w:val="Header"/>
        <w:numPr>
          <w:ilvl w:val="0"/>
          <w:numId w:val="9"/>
        </w:numPr>
        <w:tabs>
          <w:tab w:val="clear" w:pos="4153"/>
          <w:tab w:val="clear" w:pos="8306"/>
        </w:tabs>
        <w:rPr>
          <w:rFonts w:ascii="Arial" w:hAnsi="Arial" w:cs="Arial"/>
          <w:sz w:val="22"/>
          <w:szCs w:val="22"/>
        </w:rPr>
      </w:pPr>
      <w:r w:rsidRPr="00997C66">
        <w:rPr>
          <w:rFonts w:ascii="Arial" w:hAnsi="Arial" w:cs="Arial"/>
          <w:sz w:val="22"/>
          <w:szCs w:val="22"/>
        </w:rPr>
        <w:t>Partnership Co-ordinator – Matt Clarke</w:t>
      </w:r>
    </w:p>
    <w:p w:rsidRPr="00997C66" w:rsidR="00172084" w:rsidP="003C4560" w:rsidRDefault="00172084">
      <w:pPr>
        <w:pStyle w:val="ListParagraph"/>
        <w:rPr>
          <w:rFonts w:ascii="Arial" w:hAnsi="Arial" w:cs="Arial"/>
          <w:sz w:val="22"/>
          <w:szCs w:val="22"/>
        </w:rPr>
      </w:pPr>
    </w:p>
    <w:p w:rsidRPr="00CF2D26" w:rsidR="00172084" w:rsidP="003C4560" w:rsidRDefault="00172084">
      <w:pPr>
        <w:numPr>
          <w:ilvl w:val="0"/>
          <w:numId w:val="1"/>
        </w:numPr>
        <w:rPr>
          <w:rFonts w:ascii="Arial" w:hAnsi="Arial" w:cs="Arial"/>
          <w:sz w:val="22"/>
          <w:szCs w:val="22"/>
          <w:u w:val="single"/>
        </w:rPr>
      </w:pPr>
      <w:r w:rsidRPr="00CF2D26">
        <w:rPr>
          <w:rFonts w:ascii="Arial" w:hAnsi="Arial" w:cs="Arial"/>
          <w:sz w:val="22"/>
          <w:szCs w:val="22"/>
        </w:rPr>
        <w:t xml:space="preserve">This strengthened capacity reflects the high value the PCC places on the areas of </w:t>
      </w:r>
      <w:r w:rsidRPr="00CF2D26" w:rsidR="00CF2D26">
        <w:rPr>
          <w:rFonts w:ascii="Arial" w:hAnsi="Arial" w:cs="Arial"/>
          <w:sz w:val="22"/>
          <w:szCs w:val="22"/>
        </w:rPr>
        <w:t>c</w:t>
      </w:r>
      <w:r w:rsidRPr="00CF2D26">
        <w:rPr>
          <w:rFonts w:ascii="Arial" w:hAnsi="Arial" w:cs="Arial"/>
          <w:sz w:val="22"/>
          <w:szCs w:val="22"/>
        </w:rPr>
        <w:t xml:space="preserve">ommissioning and </w:t>
      </w:r>
      <w:r w:rsidRPr="00CF2D26" w:rsidR="00CF2D26">
        <w:rPr>
          <w:rFonts w:ascii="Arial" w:hAnsi="Arial" w:cs="Arial"/>
          <w:sz w:val="22"/>
          <w:szCs w:val="22"/>
        </w:rPr>
        <w:t>p</w:t>
      </w:r>
      <w:r w:rsidRPr="00CF2D26">
        <w:rPr>
          <w:rFonts w:ascii="Arial" w:hAnsi="Arial" w:cs="Arial"/>
          <w:sz w:val="22"/>
          <w:szCs w:val="22"/>
        </w:rPr>
        <w:t>artnerships.</w:t>
      </w:r>
      <w:r w:rsidRPr="00CF2D26" w:rsidR="00997C66">
        <w:rPr>
          <w:rFonts w:ascii="Arial" w:hAnsi="Arial" w:cs="Arial"/>
          <w:sz w:val="22"/>
          <w:szCs w:val="22"/>
        </w:rPr>
        <w:t xml:space="preserve"> </w:t>
      </w:r>
      <w:r w:rsidRPr="00CF2D26" w:rsidR="00CF2D26">
        <w:rPr>
          <w:rFonts w:ascii="Arial" w:hAnsi="Arial" w:cs="Arial"/>
          <w:sz w:val="22"/>
          <w:szCs w:val="22"/>
        </w:rPr>
        <w:t>The new Team will continue to</w:t>
      </w:r>
      <w:r w:rsidRPr="00CF2D26" w:rsidR="00997C66">
        <w:rPr>
          <w:rFonts w:ascii="Arial" w:hAnsi="Arial" w:cs="Arial"/>
          <w:sz w:val="22"/>
          <w:szCs w:val="22"/>
        </w:rPr>
        <w:t xml:space="preserve"> </w:t>
      </w:r>
      <w:r w:rsidRPr="00CF2D26" w:rsidR="00CF2D26">
        <w:rPr>
          <w:rFonts w:ascii="Arial" w:hAnsi="Arial" w:cs="Arial"/>
          <w:sz w:val="22"/>
          <w:szCs w:val="22"/>
        </w:rPr>
        <w:t xml:space="preserve">develop relationships, and joint commissioning opportunities, with partners to secure the outcomes within the Police and Crime Plan.  </w:t>
      </w:r>
    </w:p>
    <w:p w:rsidR="00CF2D26" w:rsidP="003C4560" w:rsidRDefault="00CF2D26">
      <w:pPr>
        <w:ind w:left="705"/>
        <w:jc w:val="both"/>
        <w:rPr>
          <w:rFonts w:ascii="Arial" w:hAnsi="Arial" w:cs="Arial"/>
          <w:sz w:val="22"/>
          <w:szCs w:val="22"/>
        </w:rPr>
      </w:pPr>
    </w:p>
    <w:p w:rsidRPr="00997C66" w:rsidR="00172084" w:rsidP="003C4560" w:rsidRDefault="00172084">
      <w:pPr>
        <w:pStyle w:val="Header"/>
        <w:tabs>
          <w:tab w:val="clear" w:pos="4153"/>
          <w:tab w:val="clear" w:pos="8306"/>
        </w:tabs>
        <w:jc w:val="both"/>
        <w:rPr>
          <w:rFonts w:ascii="Arial" w:hAnsi="Arial" w:cs="Arial"/>
          <w:b/>
          <w:sz w:val="22"/>
          <w:szCs w:val="22"/>
          <w:u w:val="single"/>
        </w:rPr>
      </w:pPr>
      <w:r w:rsidRPr="00997C66">
        <w:rPr>
          <w:rFonts w:ascii="Arial" w:hAnsi="Arial" w:cs="Arial"/>
          <w:b/>
          <w:sz w:val="22"/>
          <w:szCs w:val="22"/>
          <w:u w:val="single"/>
        </w:rPr>
        <w:t>Commissioning</w:t>
      </w:r>
    </w:p>
    <w:p w:rsidRPr="00997C66" w:rsidR="007243B4" w:rsidP="003C4560" w:rsidRDefault="007243B4">
      <w:pPr>
        <w:pStyle w:val="Header"/>
        <w:tabs>
          <w:tab w:val="clear" w:pos="4153"/>
          <w:tab w:val="clear" w:pos="8306"/>
        </w:tabs>
        <w:jc w:val="both"/>
        <w:rPr>
          <w:rFonts w:ascii="Arial" w:hAnsi="Arial" w:cs="Arial"/>
          <w:sz w:val="22"/>
          <w:szCs w:val="22"/>
        </w:rPr>
      </w:pPr>
    </w:p>
    <w:p w:rsidRPr="00172084" w:rsidR="00216624" w:rsidP="003C4560" w:rsidRDefault="00216624">
      <w:pPr>
        <w:pStyle w:val="ListParagraph"/>
        <w:numPr>
          <w:ilvl w:val="0"/>
          <w:numId w:val="1"/>
        </w:numPr>
        <w:tabs>
          <w:tab w:val="clear" w:pos="705"/>
          <w:tab w:val="num" w:pos="567"/>
        </w:tabs>
        <w:ind w:left="567" w:hanging="567"/>
        <w:rPr>
          <w:rFonts w:ascii="Arial" w:hAnsi="Arial" w:cs="Arial"/>
          <w:sz w:val="22"/>
          <w:szCs w:val="22"/>
        </w:rPr>
      </w:pPr>
      <w:r w:rsidRPr="00997C66">
        <w:rPr>
          <w:rFonts w:ascii="Arial" w:hAnsi="Arial" w:cs="Arial"/>
          <w:sz w:val="22"/>
          <w:szCs w:val="22"/>
        </w:rPr>
        <w:t xml:space="preserve">In October </w:t>
      </w:r>
      <w:r w:rsidRPr="00172084">
        <w:rPr>
          <w:rFonts w:ascii="Arial" w:hAnsi="Arial" w:cs="Arial"/>
          <w:sz w:val="22"/>
          <w:szCs w:val="22"/>
        </w:rPr>
        <w:t>2015, a new service for victims and witnesses will be in place for Leicester, Leicestershire and Rutland (LLR) residents. This service will be known as ‘Victim First’</w:t>
      </w:r>
      <w:r w:rsidR="002C24B5">
        <w:rPr>
          <w:rFonts w:ascii="Arial" w:hAnsi="Arial" w:cs="Arial"/>
          <w:sz w:val="22"/>
          <w:szCs w:val="22"/>
        </w:rPr>
        <w:t xml:space="preserve"> </w:t>
      </w:r>
      <w:r w:rsidRPr="00172084">
        <w:rPr>
          <w:rFonts w:ascii="Arial" w:hAnsi="Arial" w:cs="Arial"/>
          <w:sz w:val="22"/>
          <w:szCs w:val="22"/>
        </w:rPr>
        <w:t>- a service dedicated to the victim</w:t>
      </w:r>
      <w:r w:rsidR="002C24B5">
        <w:rPr>
          <w:rFonts w:ascii="Arial" w:hAnsi="Arial" w:cs="Arial"/>
          <w:sz w:val="22"/>
          <w:szCs w:val="22"/>
        </w:rPr>
        <w:t xml:space="preserve"> and delivered by Catch22</w:t>
      </w:r>
      <w:r w:rsidRPr="00172084">
        <w:rPr>
          <w:rFonts w:ascii="Arial" w:hAnsi="Arial" w:cs="Arial"/>
          <w:sz w:val="22"/>
          <w:szCs w:val="22"/>
        </w:rPr>
        <w:t>. The model has been designed around the victim’s journey as they travel through the criminal justice system. However victims who do not wish to report their crime or where the case cannot be progressed will also be able to access the service.</w:t>
      </w:r>
    </w:p>
    <w:p w:rsidRPr="00172084" w:rsidR="00216624" w:rsidP="003C4560" w:rsidRDefault="00216624">
      <w:pPr>
        <w:ind w:left="567"/>
        <w:jc w:val="both"/>
        <w:rPr>
          <w:rFonts w:ascii="Arial" w:hAnsi="Arial" w:cs="Arial"/>
          <w:sz w:val="22"/>
          <w:szCs w:val="22"/>
        </w:rPr>
      </w:pPr>
    </w:p>
    <w:p w:rsidRPr="003C4560" w:rsidR="003C4560" w:rsidP="003C4560" w:rsidRDefault="00216624">
      <w:pPr>
        <w:pStyle w:val="ListParagraph"/>
        <w:numPr>
          <w:ilvl w:val="0"/>
          <w:numId w:val="1"/>
        </w:numPr>
        <w:rPr>
          <w:rFonts w:ascii="Arial" w:hAnsi="Arial" w:cs="Arial"/>
          <w:sz w:val="22"/>
          <w:szCs w:val="22"/>
        </w:rPr>
      </w:pPr>
      <w:r w:rsidRPr="003C4560">
        <w:rPr>
          <w:rFonts w:ascii="Arial" w:hAnsi="Arial" w:cs="Arial"/>
          <w:sz w:val="22"/>
          <w:szCs w:val="22"/>
        </w:rPr>
        <w:lastRenderedPageBreak/>
        <w:t xml:space="preserve">‘Victim First’ will be a service that will meet the information and advice needs </w:t>
      </w:r>
      <w:proofErr w:type="gramStart"/>
      <w:r w:rsidRPr="003C4560">
        <w:rPr>
          <w:rFonts w:ascii="Arial" w:hAnsi="Arial" w:cs="Arial"/>
          <w:sz w:val="22"/>
          <w:szCs w:val="22"/>
        </w:rPr>
        <w:t>of</w:t>
      </w:r>
      <w:proofErr w:type="gramEnd"/>
      <w:r w:rsidRPr="003C4560">
        <w:rPr>
          <w:rFonts w:ascii="Arial" w:hAnsi="Arial" w:cs="Arial"/>
          <w:sz w:val="22"/>
          <w:szCs w:val="22"/>
        </w:rPr>
        <w:t xml:space="preserve"> victims of crime as well as facilitating referral to, and deployment of, support to help victims cope and recover from the crime. In addition, ‘Victim First’ aims to embed restorative practices into its contacts with victims. This will be done proactively, as far as appropriate, offering victims of crime the opportunity to consider the restorative benefits of contact with the offender, and then, if requested, ‘Victim First’ will facilitate this.</w:t>
      </w:r>
    </w:p>
    <w:p w:rsidRPr="003C4560" w:rsidR="003C4560" w:rsidP="003C4560" w:rsidRDefault="003C4560">
      <w:pPr>
        <w:pStyle w:val="ListParagraph"/>
        <w:rPr>
          <w:rFonts w:ascii="Arial" w:hAnsi="Arial" w:cs="Arial"/>
          <w:sz w:val="22"/>
          <w:szCs w:val="22"/>
          <w:lang w:val="en"/>
        </w:rPr>
      </w:pPr>
    </w:p>
    <w:p w:rsidRPr="003C4560" w:rsidR="003C4560" w:rsidP="003C4560" w:rsidRDefault="00172084">
      <w:pPr>
        <w:pStyle w:val="ListParagraph"/>
        <w:numPr>
          <w:ilvl w:val="0"/>
          <w:numId w:val="1"/>
        </w:numPr>
        <w:rPr>
          <w:rFonts w:ascii="Arial" w:hAnsi="Arial" w:cs="Arial"/>
          <w:sz w:val="22"/>
          <w:szCs w:val="22"/>
        </w:rPr>
      </w:pPr>
      <w:r w:rsidRPr="003C4560">
        <w:rPr>
          <w:rFonts w:ascii="Arial" w:hAnsi="Arial" w:cs="Arial"/>
          <w:sz w:val="22"/>
          <w:szCs w:val="22"/>
          <w:lang w:val="en"/>
        </w:rPr>
        <w:t>The</w:t>
      </w:r>
      <w:r w:rsidRPr="003C4560" w:rsidR="00216624">
        <w:rPr>
          <w:rFonts w:ascii="Arial" w:hAnsi="Arial" w:cs="Arial"/>
          <w:sz w:val="22"/>
          <w:szCs w:val="22"/>
          <w:lang w:val="en"/>
        </w:rPr>
        <w:t xml:space="preserve"> OPCC, Leicester City Council, Leicestershire County Council and Rutland County Council </w:t>
      </w:r>
      <w:r w:rsidRPr="003C4560">
        <w:rPr>
          <w:rFonts w:ascii="Arial" w:hAnsi="Arial" w:cs="Arial"/>
          <w:sz w:val="22"/>
          <w:szCs w:val="22"/>
          <w:lang w:val="en"/>
        </w:rPr>
        <w:t xml:space="preserve">have recently issued a tender for </w:t>
      </w:r>
      <w:r w:rsidRPr="003C4560" w:rsidR="00216624">
        <w:rPr>
          <w:rFonts w:ascii="Arial" w:hAnsi="Arial" w:cs="Arial"/>
          <w:sz w:val="22"/>
          <w:szCs w:val="22"/>
          <w:lang w:val="en"/>
        </w:rPr>
        <w:t xml:space="preserve">domestic and sexual violence information and support services </w:t>
      </w:r>
      <w:r w:rsidRPr="003C4560">
        <w:rPr>
          <w:rFonts w:ascii="Arial" w:hAnsi="Arial" w:cs="Arial"/>
          <w:sz w:val="22"/>
          <w:szCs w:val="22"/>
          <w:lang w:val="en"/>
        </w:rPr>
        <w:t xml:space="preserve">across Leicester, Leicestershire and Rutland. This is the first time that these services have been jointly commissioned and will provide parity of service across the sub-region. </w:t>
      </w:r>
      <w:r w:rsidRPr="003C4560" w:rsidR="00216624">
        <w:rPr>
          <w:rFonts w:ascii="Arial" w:hAnsi="Arial" w:cs="Arial"/>
          <w:sz w:val="22"/>
          <w:szCs w:val="22"/>
          <w:lang w:val="en"/>
        </w:rPr>
        <w:t xml:space="preserve">The value of the contract will be £828,500 per annum with the OPCC contributing £260,000 p.a. </w:t>
      </w:r>
    </w:p>
    <w:p w:rsidRPr="003C4560" w:rsidR="003C4560" w:rsidP="003C4560" w:rsidRDefault="003C4560">
      <w:pPr>
        <w:pStyle w:val="ListParagraph"/>
        <w:rPr>
          <w:rFonts w:ascii="Arial" w:hAnsi="Arial" w:cs="Arial"/>
          <w:sz w:val="22"/>
          <w:szCs w:val="22"/>
          <w:lang w:val="en"/>
        </w:rPr>
      </w:pPr>
    </w:p>
    <w:p w:rsidR="003C4560" w:rsidP="003C4560" w:rsidRDefault="00216624">
      <w:pPr>
        <w:pStyle w:val="ListParagraph"/>
        <w:numPr>
          <w:ilvl w:val="0"/>
          <w:numId w:val="1"/>
        </w:numPr>
        <w:rPr>
          <w:rFonts w:ascii="Arial" w:hAnsi="Arial" w:cs="Arial"/>
          <w:sz w:val="22"/>
          <w:szCs w:val="22"/>
        </w:rPr>
      </w:pPr>
      <w:r w:rsidRPr="003C4560">
        <w:rPr>
          <w:rFonts w:ascii="Arial" w:hAnsi="Arial" w:cs="Arial"/>
          <w:sz w:val="22"/>
          <w:szCs w:val="22"/>
          <w:lang w:val="en"/>
        </w:rPr>
        <w:t xml:space="preserve">The contract will include the following core services: </w:t>
      </w:r>
      <w:r w:rsidRPr="003C4560">
        <w:rPr>
          <w:rFonts w:ascii="Arial" w:hAnsi="Arial" w:cs="Arial"/>
          <w:sz w:val="22"/>
          <w:szCs w:val="22"/>
        </w:rPr>
        <w:t xml:space="preserve">24 hour helpline, face to face support, support for third parties (friends, family members and colleagues), information on options including for those concerned about their own behaviour or local practitioners, safety planning and risk assessments, support planning, key working and support co-ordination, advocacy, individual and group support, appropriate therapeutic support, attendance at </w:t>
      </w:r>
      <w:r w:rsidRPr="003C4560">
        <w:rPr>
          <w:rStyle w:val="st1"/>
          <w:rFonts w:ascii="Arial" w:hAnsi="Arial" w:cs="Arial"/>
          <w:bCs/>
          <w:sz w:val="22"/>
          <w:szCs w:val="22"/>
        </w:rPr>
        <w:t>Multi-Agency Risk Assessment Conferences</w:t>
      </w:r>
      <w:r w:rsidRPr="003C4560">
        <w:rPr>
          <w:rStyle w:val="st1"/>
          <w:rFonts w:ascii="Arial" w:hAnsi="Arial" w:cs="Arial"/>
          <w:sz w:val="22"/>
          <w:szCs w:val="22"/>
        </w:rPr>
        <w:t xml:space="preserve"> (</w:t>
      </w:r>
      <w:r w:rsidRPr="003C4560">
        <w:rPr>
          <w:rFonts w:ascii="Arial" w:hAnsi="Arial" w:cs="Arial"/>
          <w:sz w:val="22"/>
          <w:szCs w:val="22"/>
        </w:rPr>
        <w:t xml:space="preserve">MARAC), the Specialist Domestic Violence Court, neighbourhood profile/ networking and gendered provision. </w:t>
      </w:r>
    </w:p>
    <w:p w:rsidRPr="003C4560" w:rsidR="003C4560" w:rsidP="003C4560" w:rsidRDefault="003C4560">
      <w:pPr>
        <w:pStyle w:val="ListParagraph"/>
        <w:rPr>
          <w:rFonts w:ascii="Arial" w:hAnsi="Arial" w:cs="Arial"/>
          <w:sz w:val="22"/>
          <w:szCs w:val="22"/>
          <w:lang w:val="en"/>
        </w:rPr>
      </w:pPr>
    </w:p>
    <w:p w:rsidRPr="003C4560" w:rsidR="00216624" w:rsidP="003C4560" w:rsidRDefault="00216624">
      <w:pPr>
        <w:pStyle w:val="ListParagraph"/>
        <w:numPr>
          <w:ilvl w:val="0"/>
          <w:numId w:val="1"/>
        </w:numPr>
        <w:rPr>
          <w:rFonts w:ascii="Arial" w:hAnsi="Arial" w:cs="Arial"/>
          <w:sz w:val="22"/>
          <w:szCs w:val="22"/>
        </w:rPr>
      </w:pPr>
      <w:r w:rsidRPr="003C4560">
        <w:rPr>
          <w:rFonts w:ascii="Arial" w:hAnsi="Arial" w:cs="Arial"/>
          <w:sz w:val="22"/>
          <w:szCs w:val="22"/>
          <w:lang w:val="en"/>
        </w:rPr>
        <w:t xml:space="preserve">The OPCC </w:t>
      </w:r>
      <w:r w:rsidRPr="003C4560" w:rsidR="00172084">
        <w:rPr>
          <w:rFonts w:ascii="Arial" w:hAnsi="Arial" w:cs="Arial"/>
          <w:sz w:val="22"/>
          <w:szCs w:val="22"/>
          <w:lang w:val="en"/>
        </w:rPr>
        <w:t>is also</w:t>
      </w:r>
      <w:r w:rsidRPr="003C4560">
        <w:rPr>
          <w:rFonts w:ascii="Arial" w:hAnsi="Arial" w:cs="Arial"/>
          <w:sz w:val="22"/>
          <w:szCs w:val="22"/>
          <w:lang w:val="en"/>
        </w:rPr>
        <w:t xml:space="preserve"> commissioning practical support/target hardening for those assessed as vulnerable and/or at high risk of repeat </w:t>
      </w:r>
      <w:proofErr w:type="spellStart"/>
      <w:r w:rsidRPr="003C4560">
        <w:rPr>
          <w:rFonts w:ascii="Arial" w:hAnsi="Arial" w:cs="Arial"/>
          <w:sz w:val="22"/>
          <w:szCs w:val="22"/>
          <w:lang w:val="en"/>
        </w:rPr>
        <w:t>victimisation</w:t>
      </w:r>
      <w:proofErr w:type="spellEnd"/>
      <w:r w:rsidRPr="003C4560">
        <w:rPr>
          <w:rFonts w:ascii="Arial" w:hAnsi="Arial" w:cs="Arial"/>
          <w:sz w:val="22"/>
          <w:szCs w:val="22"/>
          <w:lang w:val="en"/>
        </w:rPr>
        <w:t xml:space="preserve"> from October 2015. The value of this contract has been doubled by the Chief Constable to £90,000 p.a.</w:t>
      </w:r>
    </w:p>
    <w:p w:rsidR="00216624" w:rsidP="003C4560" w:rsidRDefault="00216624">
      <w:pPr>
        <w:pStyle w:val="ListParagraph"/>
        <w:rPr>
          <w:rFonts w:ascii="Arial" w:hAnsi="Arial" w:cs="Arial"/>
          <w:color w:val="FF0000"/>
          <w:sz w:val="22"/>
          <w:szCs w:val="22"/>
        </w:rPr>
      </w:pPr>
    </w:p>
    <w:p w:rsidR="00216624" w:rsidP="003C4560" w:rsidRDefault="00172084">
      <w:pPr>
        <w:rPr>
          <w:rFonts w:ascii="Arial" w:hAnsi="Arial" w:cs="Arial"/>
          <w:b/>
          <w:sz w:val="22"/>
          <w:szCs w:val="22"/>
          <w:u w:val="single"/>
        </w:rPr>
      </w:pPr>
      <w:r w:rsidRPr="00172084">
        <w:rPr>
          <w:rFonts w:ascii="Arial" w:hAnsi="Arial" w:cs="Arial"/>
          <w:b/>
          <w:sz w:val="22"/>
          <w:szCs w:val="22"/>
          <w:u w:val="single"/>
        </w:rPr>
        <w:t>Commissioning Audit</w:t>
      </w:r>
    </w:p>
    <w:p w:rsidR="00066E59" w:rsidP="003C4560" w:rsidRDefault="00066E59">
      <w:pPr>
        <w:rPr>
          <w:rFonts w:ascii="Arial" w:hAnsi="Arial" w:cs="Arial"/>
          <w:b/>
          <w:sz w:val="22"/>
          <w:szCs w:val="22"/>
          <w:u w:val="single"/>
        </w:rPr>
      </w:pPr>
    </w:p>
    <w:p w:rsidR="00066E59" w:rsidP="003C4560" w:rsidRDefault="00066E59">
      <w:pPr>
        <w:pStyle w:val="BodyText"/>
        <w:tabs>
          <w:tab w:val="clear" w:pos="709"/>
          <w:tab w:val="left" w:pos="0"/>
        </w:tabs>
        <w:ind w:left="720" w:hanging="720"/>
        <w:jc w:val="left"/>
        <w:rPr>
          <w:rFonts w:ascii="Arial" w:hAnsi="Arial" w:cs="Arial"/>
          <w:sz w:val="22"/>
          <w:szCs w:val="22"/>
        </w:rPr>
      </w:pPr>
      <w:r w:rsidRPr="00066E59">
        <w:rPr>
          <w:rFonts w:ascii="Arial" w:hAnsi="Arial" w:cs="Arial"/>
          <w:sz w:val="22"/>
          <w:szCs w:val="22"/>
        </w:rPr>
        <w:t>1</w:t>
      </w:r>
      <w:r w:rsidR="00EC6CB9">
        <w:rPr>
          <w:rFonts w:ascii="Arial" w:hAnsi="Arial" w:cs="Arial"/>
          <w:sz w:val="22"/>
          <w:szCs w:val="22"/>
        </w:rPr>
        <w:t>0</w:t>
      </w:r>
      <w:r w:rsidRPr="00066E59">
        <w:rPr>
          <w:rFonts w:ascii="Arial" w:hAnsi="Arial" w:cs="Arial"/>
          <w:sz w:val="22"/>
          <w:szCs w:val="22"/>
        </w:rPr>
        <w:t>.</w:t>
      </w:r>
      <w:r w:rsidRPr="00066E59">
        <w:rPr>
          <w:rFonts w:ascii="Arial" w:hAnsi="Arial" w:cs="Arial"/>
          <w:sz w:val="22"/>
          <w:szCs w:val="22"/>
        </w:rPr>
        <w:tab/>
        <w:t>An internal audit of Commissioning was undertaken by baker Tilley in April 2015. This audit of was undertaken as part of the approved internal audit periodic plan for 2014/15 and was designed to assess the controls in place to manage the following objective and risk:</w:t>
      </w:r>
    </w:p>
    <w:p w:rsidR="003C4560" w:rsidP="003C4560" w:rsidRDefault="003C4560">
      <w:pPr>
        <w:pStyle w:val="BodyText"/>
        <w:tabs>
          <w:tab w:val="clear" w:pos="709"/>
          <w:tab w:val="left" w:pos="0"/>
        </w:tabs>
        <w:ind w:left="720" w:hanging="720"/>
        <w:jc w:val="left"/>
        <w:rPr>
          <w:rFonts w:ascii="Arial" w:hAnsi="Arial" w:cs="Arial"/>
          <w:sz w:val="22"/>
          <w:szCs w:val="22"/>
        </w:rPr>
      </w:pPr>
    </w:p>
    <w:p w:rsidR="00066E59" w:rsidP="003C4560" w:rsidRDefault="00066E59">
      <w:pPr>
        <w:pStyle w:val="BodyText"/>
        <w:tabs>
          <w:tab w:val="clear" w:pos="709"/>
          <w:tab w:val="left" w:pos="0"/>
        </w:tabs>
        <w:ind w:left="720" w:hanging="720"/>
        <w:jc w:val="left"/>
        <w:rPr>
          <w:rFonts w:ascii="Arial" w:hAnsi="Arial" w:cs="Arial"/>
          <w:i/>
          <w:color w:val="000000"/>
          <w:sz w:val="22"/>
          <w:szCs w:val="22"/>
        </w:rPr>
      </w:pPr>
      <w:r w:rsidRPr="00066E59">
        <w:rPr>
          <w:rFonts w:ascii="Arial" w:hAnsi="Arial" w:cs="Arial"/>
          <w:i/>
          <w:sz w:val="22"/>
          <w:szCs w:val="22"/>
        </w:rPr>
        <w:tab/>
        <w:t xml:space="preserve">Objective: </w:t>
      </w:r>
      <w:r w:rsidRPr="00066E59">
        <w:rPr>
          <w:rFonts w:ascii="Arial" w:hAnsi="Arial" w:cs="Arial"/>
          <w:i/>
          <w:color w:val="000000"/>
          <w:sz w:val="22"/>
          <w:szCs w:val="22"/>
        </w:rPr>
        <w:t>Commissioning plan is designed to support the delivery of the strategic priorities within the Police and Crime Plan</w:t>
      </w:r>
    </w:p>
    <w:p w:rsidR="003C4560" w:rsidP="003C4560" w:rsidRDefault="003C4560">
      <w:pPr>
        <w:pStyle w:val="BodyText"/>
        <w:tabs>
          <w:tab w:val="clear" w:pos="709"/>
          <w:tab w:val="left" w:pos="0"/>
        </w:tabs>
        <w:ind w:left="720" w:hanging="720"/>
        <w:jc w:val="left"/>
        <w:rPr>
          <w:rFonts w:ascii="Arial" w:hAnsi="Arial" w:cs="Arial"/>
          <w:i/>
          <w:color w:val="000000"/>
          <w:sz w:val="22"/>
          <w:szCs w:val="22"/>
        </w:rPr>
      </w:pPr>
    </w:p>
    <w:p w:rsidR="00066E59" w:rsidP="003C4560" w:rsidRDefault="00066E59">
      <w:pPr>
        <w:pStyle w:val="BodyText"/>
        <w:tabs>
          <w:tab w:val="clear" w:pos="709"/>
          <w:tab w:val="left" w:pos="0"/>
        </w:tabs>
        <w:ind w:left="720" w:hanging="720"/>
        <w:jc w:val="left"/>
        <w:rPr>
          <w:rFonts w:ascii="Arial" w:hAnsi="Arial" w:cs="Arial"/>
          <w:i/>
          <w:color w:val="000000"/>
          <w:sz w:val="22"/>
          <w:szCs w:val="22"/>
        </w:rPr>
      </w:pPr>
      <w:r w:rsidRPr="00066E59">
        <w:rPr>
          <w:rFonts w:ascii="Arial" w:hAnsi="Arial" w:cs="Arial"/>
          <w:i/>
          <w:color w:val="000000"/>
          <w:sz w:val="22"/>
          <w:szCs w:val="22"/>
        </w:rPr>
        <w:tab/>
        <w:t>Risk: Failure to produce and maintain a commissioning framework (OPCC)</w:t>
      </w:r>
    </w:p>
    <w:p w:rsidR="003C4560" w:rsidP="003C4560" w:rsidRDefault="003C4560">
      <w:pPr>
        <w:pStyle w:val="BodyText"/>
        <w:tabs>
          <w:tab w:val="clear" w:pos="709"/>
          <w:tab w:val="left" w:pos="0"/>
        </w:tabs>
        <w:ind w:left="720" w:hanging="720"/>
        <w:jc w:val="left"/>
        <w:rPr>
          <w:rFonts w:ascii="Arial" w:hAnsi="Arial" w:cs="Arial"/>
          <w:i/>
          <w:color w:val="000000"/>
          <w:sz w:val="22"/>
          <w:szCs w:val="22"/>
        </w:rPr>
      </w:pPr>
    </w:p>
    <w:p w:rsidRPr="00D554DD" w:rsidR="00066E59" w:rsidP="003C4560" w:rsidRDefault="00F4276E">
      <w:pPr>
        <w:autoSpaceDE w:val="0"/>
        <w:autoSpaceDN w:val="0"/>
        <w:ind w:left="709" w:hanging="709"/>
        <w:rPr>
          <w:rFonts w:ascii="Arial" w:hAnsi="Arial" w:cs="Arial"/>
          <w:spacing w:val="-2"/>
          <w:sz w:val="22"/>
          <w:szCs w:val="22"/>
          <w:lang w:eastAsia="en-GB"/>
        </w:rPr>
      </w:pPr>
      <w:r>
        <w:rPr>
          <w:rFonts w:ascii="Arial" w:hAnsi="Arial" w:cs="Arial"/>
          <w:spacing w:val="-2"/>
          <w:sz w:val="22"/>
          <w:szCs w:val="22"/>
          <w:lang w:eastAsia="en-GB"/>
        </w:rPr>
        <w:t>1</w:t>
      </w:r>
      <w:r w:rsidR="00EC6CB9">
        <w:rPr>
          <w:rFonts w:ascii="Arial" w:hAnsi="Arial" w:cs="Arial"/>
          <w:spacing w:val="-2"/>
          <w:sz w:val="22"/>
          <w:szCs w:val="22"/>
          <w:lang w:eastAsia="en-GB"/>
        </w:rPr>
        <w:t>1</w:t>
      </w:r>
      <w:r>
        <w:rPr>
          <w:rFonts w:ascii="Arial" w:hAnsi="Arial" w:cs="Arial"/>
          <w:spacing w:val="-2"/>
          <w:sz w:val="22"/>
          <w:szCs w:val="22"/>
          <w:lang w:eastAsia="en-GB"/>
        </w:rPr>
        <w:t>.</w:t>
      </w:r>
      <w:r>
        <w:rPr>
          <w:rFonts w:ascii="Arial" w:hAnsi="Arial" w:cs="Arial"/>
          <w:spacing w:val="-2"/>
          <w:sz w:val="22"/>
          <w:szCs w:val="22"/>
          <w:lang w:eastAsia="en-GB"/>
        </w:rPr>
        <w:tab/>
      </w:r>
      <w:r w:rsidR="002C24B5">
        <w:rPr>
          <w:rFonts w:ascii="Arial" w:hAnsi="Arial" w:cs="Arial"/>
          <w:spacing w:val="-2"/>
          <w:sz w:val="22"/>
          <w:szCs w:val="22"/>
          <w:lang w:eastAsia="en-GB"/>
        </w:rPr>
        <w:t>Two</w:t>
      </w:r>
      <w:r w:rsidRPr="00D554DD" w:rsidR="00066E59">
        <w:rPr>
          <w:rFonts w:ascii="Arial" w:hAnsi="Arial" w:cs="Arial"/>
          <w:spacing w:val="-2"/>
          <w:sz w:val="22"/>
          <w:szCs w:val="22"/>
          <w:lang w:eastAsia="en-GB"/>
        </w:rPr>
        <w:t xml:space="preserve"> recommendations</w:t>
      </w:r>
      <w:r w:rsidR="002C24B5">
        <w:rPr>
          <w:rFonts w:ascii="Arial" w:hAnsi="Arial" w:cs="Arial"/>
          <w:spacing w:val="-2"/>
          <w:sz w:val="22"/>
          <w:szCs w:val="22"/>
          <w:lang w:eastAsia="en-GB"/>
        </w:rPr>
        <w:t xml:space="preserve"> were</w:t>
      </w:r>
      <w:r w:rsidRPr="00D554DD" w:rsidR="00066E59">
        <w:rPr>
          <w:rFonts w:ascii="Arial" w:hAnsi="Arial" w:cs="Arial"/>
          <w:spacing w:val="-2"/>
          <w:sz w:val="22"/>
          <w:szCs w:val="22"/>
          <w:lang w:eastAsia="en-GB"/>
        </w:rPr>
        <w:t xml:space="preserve"> made</w:t>
      </w:r>
      <w:r w:rsidR="002C24B5">
        <w:rPr>
          <w:rFonts w:ascii="Arial" w:hAnsi="Arial" w:cs="Arial"/>
          <w:spacing w:val="-2"/>
          <w:sz w:val="22"/>
          <w:szCs w:val="22"/>
          <w:lang w:eastAsia="en-GB"/>
        </w:rPr>
        <w:t xml:space="preserve"> which were both graded as medium risk</w:t>
      </w:r>
      <w:r w:rsidRPr="00D554DD" w:rsidR="00066E59">
        <w:rPr>
          <w:rFonts w:ascii="Arial" w:hAnsi="Arial" w:cs="Arial"/>
          <w:spacing w:val="-2"/>
          <w:sz w:val="22"/>
          <w:szCs w:val="22"/>
          <w:lang w:eastAsia="en-GB"/>
        </w:rPr>
        <w:t xml:space="preserve">.  The Action Plan </w:t>
      </w:r>
      <w:r w:rsidR="002C24B5">
        <w:rPr>
          <w:rFonts w:ascii="Arial" w:hAnsi="Arial" w:cs="Arial"/>
          <w:spacing w:val="-2"/>
          <w:sz w:val="22"/>
          <w:szCs w:val="22"/>
          <w:lang w:eastAsia="en-GB"/>
        </w:rPr>
        <w:t>below</w:t>
      </w:r>
      <w:r w:rsidRPr="00D554DD" w:rsidR="00066E59">
        <w:rPr>
          <w:rFonts w:ascii="Arial" w:hAnsi="Arial" w:cs="Arial"/>
          <w:spacing w:val="-2"/>
          <w:sz w:val="22"/>
          <w:szCs w:val="22"/>
          <w:lang w:eastAsia="en-GB"/>
        </w:rPr>
        <w:t xml:space="preserve"> details the specific recommendations made as well as agreed management actions to implement them.</w:t>
      </w:r>
    </w:p>
    <w:p w:rsidR="00F4276E" w:rsidP="00066E59" w:rsidRDefault="00F4276E">
      <w:pPr>
        <w:autoSpaceDE w:val="0"/>
        <w:autoSpaceDN w:val="0"/>
        <w:spacing w:before="120" w:after="60"/>
        <w:ind w:left="709"/>
        <w:rPr>
          <w:rFonts w:ascii="Arial" w:hAnsi="Arial" w:cs="Arial"/>
          <w:spacing w:val="-2"/>
          <w:sz w:val="22"/>
          <w:szCs w:val="22"/>
          <w:lang w:eastAsia="en-GB"/>
        </w:rPr>
      </w:pPr>
    </w:p>
    <w:p w:rsidR="00F4276E" w:rsidP="00066E59" w:rsidRDefault="00F4276E">
      <w:pPr>
        <w:autoSpaceDE w:val="0"/>
        <w:autoSpaceDN w:val="0"/>
        <w:spacing w:before="120" w:after="60"/>
        <w:ind w:left="709"/>
        <w:rPr>
          <w:rFonts w:ascii="Arial" w:hAnsi="Arial" w:cs="Arial"/>
          <w:spacing w:val="-2"/>
          <w:sz w:val="22"/>
          <w:szCs w:val="22"/>
          <w:lang w:eastAsia="en-GB"/>
        </w:rPr>
      </w:pPr>
    </w:p>
    <w:p w:rsidR="00F4276E" w:rsidP="00066E59" w:rsidRDefault="00F4276E">
      <w:pPr>
        <w:autoSpaceDE w:val="0"/>
        <w:autoSpaceDN w:val="0"/>
        <w:spacing w:before="120" w:after="60"/>
        <w:ind w:left="709"/>
        <w:rPr>
          <w:rFonts w:ascii="Arial" w:hAnsi="Arial" w:cs="Arial"/>
          <w:spacing w:val="-2"/>
          <w:sz w:val="22"/>
          <w:szCs w:val="22"/>
          <w:lang w:eastAsia="en-GB"/>
        </w:rPr>
      </w:pPr>
    </w:p>
    <w:p w:rsidR="00F4276E" w:rsidP="00066E59" w:rsidRDefault="00F4276E">
      <w:pPr>
        <w:autoSpaceDE w:val="0"/>
        <w:autoSpaceDN w:val="0"/>
        <w:spacing w:before="120" w:after="60"/>
        <w:ind w:left="709"/>
        <w:rPr>
          <w:rFonts w:ascii="Arial" w:hAnsi="Arial" w:cs="Arial"/>
          <w:spacing w:val="-2"/>
          <w:sz w:val="22"/>
          <w:szCs w:val="22"/>
          <w:lang w:eastAsia="en-GB"/>
        </w:rPr>
      </w:pPr>
    </w:p>
    <w:p w:rsidR="00382B7E" w:rsidP="00066E59" w:rsidRDefault="00382B7E">
      <w:pPr>
        <w:autoSpaceDE w:val="0"/>
        <w:autoSpaceDN w:val="0"/>
        <w:spacing w:before="120" w:after="60"/>
        <w:ind w:left="709"/>
        <w:rPr>
          <w:rFonts w:ascii="Arial" w:hAnsi="Arial" w:cs="Arial"/>
          <w:spacing w:val="-2"/>
          <w:sz w:val="22"/>
          <w:szCs w:val="22"/>
          <w:lang w:eastAsia="en-GB"/>
        </w:rPr>
      </w:pPr>
    </w:p>
    <w:p w:rsidR="002C24B5" w:rsidP="00066E59" w:rsidRDefault="002C24B5">
      <w:pPr>
        <w:autoSpaceDE w:val="0"/>
        <w:autoSpaceDN w:val="0"/>
        <w:spacing w:before="120" w:after="60"/>
        <w:ind w:left="709"/>
        <w:rPr>
          <w:rFonts w:ascii="Arial" w:hAnsi="Arial" w:cs="Arial"/>
          <w:spacing w:val="-2"/>
          <w:sz w:val="22"/>
          <w:szCs w:val="22"/>
          <w:lang w:eastAsia="en-GB"/>
        </w:rPr>
        <w:sectPr w:rsidR="002C24B5" w:rsidSect="00F4276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tbl>
      <w:tblPr>
        <w:tblStyle w:val="TableGrid5"/>
        <w:tblW w:w="5000" w:type="pct"/>
        <w:tblInd w:w="23" w:type="dxa"/>
        <w:tblBorders>
          <w:top w:val="single" w:color="000000" w:sz="1" w:space="0"/>
          <w:left w:val="single" w:color="000000" w:sz="1" w:space="0"/>
          <w:bottom w:val="single" w:color="000000" w:sz="1" w:space="0"/>
          <w:right w:val="single" w:color="000000" w:sz="1" w:space="0"/>
          <w:insideH w:val="single" w:color="000000" w:sz="1" w:space="0"/>
          <w:insideV w:val="single" w:color="000000" w:sz="1" w:space="0"/>
        </w:tblBorders>
        <w:tblLayout w:type="fixed"/>
        <w:tblLook w:val="01E0" w:firstRow="1" w:lastRow="1" w:firstColumn="1" w:lastColumn="1" w:noHBand="0" w:noVBand="0"/>
      </w:tblPr>
      <w:tblGrid>
        <w:gridCol w:w="711"/>
        <w:gridCol w:w="3378"/>
        <w:gridCol w:w="2126"/>
        <w:gridCol w:w="1276"/>
        <w:gridCol w:w="2693"/>
        <w:gridCol w:w="1878"/>
        <w:gridCol w:w="1898"/>
      </w:tblGrid>
      <w:tr w:rsidRPr="00283D61" w:rsidR="002C24B5" w:rsidTr="00BC5F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1" w:type="dxa"/>
          </w:tcPr>
          <w:p w:rsidRPr="00F4276E" w:rsidR="002C24B5" w:rsidP="00BC5FA0" w:rsidRDefault="002C24B5">
            <w:pPr>
              <w:ind w:left="113" w:right="57"/>
              <w:jc w:val="center"/>
              <w:rPr>
                <w:rFonts w:ascii="Arial" w:hAnsi="Arial" w:cs="Arial"/>
                <w:b/>
                <w:color w:val="000000"/>
              </w:rPr>
            </w:pPr>
            <w:r w:rsidRPr="00F4276E">
              <w:rPr>
                <w:rFonts w:ascii="Arial" w:hAnsi="Arial" w:cs="Arial"/>
                <w:b/>
                <w:color w:val="000000"/>
              </w:rPr>
              <w:lastRenderedPageBreak/>
              <w:t>Ref</w:t>
            </w:r>
          </w:p>
        </w:tc>
        <w:tc>
          <w:tcPr>
            <w:tcW w:w="3378"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Recommendation</w:t>
            </w:r>
          </w:p>
        </w:tc>
        <w:tc>
          <w:tcPr>
            <w:tcW w:w="2126"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Categorisation</w:t>
            </w:r>
          </w:p>
        </w:tc>
        <w:tc>
          <w:tcPr>
            <w:tcW w:w="1276"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Accepted (Y/N)</w:t>
            </w:r>
          </w:p>
        </w:tc>
        <w:tc>
          <w:tcPr>
            <w:tcW w:w="2693"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Management Comment</w:t>
            </w:r>
          </w:p>
        </w:tc>
        <w:tc>
          <w:tcPr>
            <w:tcW w:w="1878"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Implementation Date</w:t>
            </w:r>
          </w:p>
        </w:tc>
        <w:tc>
          <w:tcPr>
            <w:tcW w:w="1898" w:type="dxa"/>
          </w:tcPr>
          <w:p w:rsidRPr="00F4276E" w:rsidR="002C24B5" w:rsidP="00BC5FA0" w:rsidRDefault="002C24B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b/>
                <w:color w:val="000000"/>
              </w:rPr>
              <w:t>Manager Responsible</w:t>
            </w:r>
          </w:p>
        </w:tc>
      </w:tr>
      <w:tr w:rsidRPr="00781769" w:rsidR="002C24B5" w:rsidTr="00BC5FA0">
        <w:tc>
          <w:tcPr>
            <w:cnfStyle w:val="001000000000" w:firstRow="0" w:lastRow="0" w:firstColumn="1" w:lastColumn="0" w:oddVBand="0" w:evenVBand="0" w:oddHBand="0" w:evenHBand="0" w:firstRowFirstColumn="0" w:firstRowLastColumn="0" w:lastRowFirstColumn="0" w:lastRowLastColumn="0"/>
            <w:tcW w:w="711" w:type="dxa"/>
          </w:tcPr>
          <w:p w:rsidRPr="00F4276E" w:rsidR="002C24B5" w:rsidP="00BC5FA0" w:rsidRDefault="002C24B5">
            <w:pPr>
              <w:ind w:left="113" w:right="113"/>
              <w:jc w:val="center"/>
              <w:rPr>
                <w:rFonts w:ascii="Arial" w:hAnsi="Arial" w:cs="Arial"/>
                <w:b/>
                <w:color w:val="000000"/>
              </w:rPr>
            </w:pPr>
            <w:r w:rsidRPr="00F4276E">
              <w:rPr>
                <w:rFonts w:ascii="Arial" w:hAnsi="Arial" w:cs="Arial"/>
                <w:color w:val="000000"/>
              </w:rPr>
              <w:t>1.1a</w:t>
            </w:r>
          </w:p>
        </w:tc>
        <w:tc>
          <w:tcPr>
            <w:tcW w:w="3378" w:type="dxa"/>
          </w:tcPr>
          <w:p w:rsidRPr="00F4276E" w:rsidR="002C24B5" w:rsidP="00BC5FA0" w:rsidRDefault="002C24B5">
            <w:pPr>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 xml:space="preserve">The OPCC should ensure that (for the major providers’ quarterly performance meetings) either formal minutes and/or action notes are taken.  </w:t>
            </w:r>
          </w:p>
          <w:p w:rsidRPr="00F4276E" w:rsidR="002C24B5" w:rsidP="00BC5FA0" w:rsidRDefault="002C24B5">
            <w:pPr>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 xml:space="preserve">This will allow items to be taken forward to the following meeting to ensure any issues with meeting contract performance outcomes are cleared and actions completed. </w:t>
            </w:r>
          </w:p>
        </w:tc>
        <w:tc>
          <w:tcPr>
            <w:tcW w:w="2126"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Medium</w:t>
            </w:r>
          </w:p>
        </w:tc>
        <w:tc>
          <w:tcPr>
            <w:tcW w:w="1276"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Yes</w:t>
            </w:r>
          </w:p>
        </w:tc>
        <w:tc>
          <w:tcPr>
            <w:tcW w:w="2693" w:type="dxa"/>
          </w:tcPr>
          <w:p w:rsidRPr="00F4276E" w:rsidR="002C24B5" w:rsidP="00BC5FA0" w:rsidRDefault="002C24B5">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Have already discussed with new Commissioning and Contracts Officer having a process to risk assess our current contracts so that we can decide which of the major contracts need to be more actively managed</w:t>
            </w:r>
          </w:p>
          <w:p w:rsidRPr="00F4276E" w:rsidR="002C24B5" w:rsidP="00BC5FA0" w:rsidRDefault="002C24B5">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878"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Work already being done</w:t>
            </w:r>
          </w:p>
        </w:tc>
        <w:tc>
          <w:tcPr>
            <w:tcW w:w="1898"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Head of Partnerships and Commissioning</w:t>
            </w:r>
          </w:p>
        </w:tc>
      </w:tr>
      <w:tr w:rsidRPr="00781769" w:rsidR="002C24B5" w:rsidTr="00BC5FA0">
        <w:tc>
          <w:tcPr>
            <w:cnfStyle w:val="001000000000" w:firstRow="0" w:lastRow="0" w:firstColumn="1" w:lastColumn="0" w:oddVBand="0" w:evenVBand="0" w:oddHBand="0" w:evenHBand="0" w:firstRowFirstColumn="0" w:firstRowLastColumn="0" w:lastRowFirstColumn="0" w:lastRowLastColumn="0"/>
            <w:tcW w:w="711" w:type="dxa"/>
          </w:tcPr>
          <w:p w:rsidRPr="00F4276E" w:rsidR="002C24B5" w:rsidP="00BC5FA0" w:rsidRDefault="002C24B5">
            <w:pPr>
              <w:ind w:left="113" w:right="113"/>
              <w:jc w:val="center"/>
              <w:rPr>
                <w:rFonts w:ascii="Arial" w:hAnsi="Arial" w:cs="Arial"/>
                <w:b/>
                <w:color w:val="000000"/>
              </w:rPr>
            </w:pPr>
            <w:r w:rsidRPr="00F4276E">
              <w:rPr>
                <w:rFonts w:ascii="Arial" w:hAnsi="Arial" w:cs="Arial"/>
                <w:color w:val="000000"/>
              </w:rPr>
              <w:t>1.1b</w:t>
            </w:r>
          </w:p>
        </w:tc>
        <w:tc>
          <w:tcPr>
            <w:tcW w:w="3378" w:type="dxa"/>
          </w:tcPr>
          <w:p w:rsidRPr="00F4276E" w:rsidR="002C24B5" w:rsidP="00BC5FA0" w:rsidRDefault="002C24B5">
            <w:pPr>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As resources for contract management are brought up to strength the monitoring spread sheet should be brought up to date with the addition of columns explaining what action has been agreed with completion dates.</w:t>
            </w:r>
          </w:p>
        </w:tc>
        <w:tc>
          <w:tcPr>
            <w:tcW w:w="2126"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rPr>
            </w:pPr>
            <w:r w:rsidRPr="00F4276E">
              <w:rPr>
                <w:rFonts w:ascii="Arial" w:hAnsi="Arial" w:cs="Arial"/>
                <w:color w:val="000000"/>
              </w:rPr>
              <w:t>Medium</w:t>
            </w:r>
          </w:p>
        </w:tc>
        <w:tc>
          <w:tcPr>
            <w:tcW w:w="1276"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Yes</w:t>
            </w:r>
          </w:p>
        </w:tc>
        <w:tc>
          <w:tcPr>
            <w:tcW w:w="2693" w:type="dxa"/>
          </w:tcPr>
          <w:p w:rsidRPr="00F4276E" w:rsidR="002C24B5" w:rsidP="00BC5FA0" w:rsidRDefault="002C24B5">
            <w:pPr>
              <w:spacing w:after="0"/>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A new contract /performance management spreadsheet has been already been put together for 2015/16 with 4 columns:</w:t>
            </w:r>
          </w:p>
          <w:p w:rsidRPr="00F4276E" w:rsidR="002C24B5" w:rsidP="00BC5FA0" w:rsidRDefault="002C24B5">
            <w:pPr>
              <w:numPr>
                <w:ilvl w:val="0"/>
                <w:numId w:val="11"/>
              </w:numPr>
              <w:autoSpaceDE w:val="0"/>
              <w:autoSpaceDN w:val="0"/>
              <w:spacing w:before="40" w:after="40"/>
              <w:ind w:left="605" w:right="113"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Q1(2,3,4) Performance</w:t>
            </w:r>
          </w:p>
          <w:p w:rsidRPr="00F4276E" w:rsidR="002C24B5" w:rsidP="00BC5FA0" w:rsidRDefault="002C24B5">
            <w:pPr>
              <w:numPr>
                <w:ilvl w:val="0"/>
                <w:numId w:val="11"/>
              </w:numPr>
              <w:autoSpaceDE w:val="0"/>
              <w:autoSpaceDN w:val="0"/>
              <w:spacing w:before="40" w:after="40"/>
              <w:ind w:left="605" w:right="113"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Performance criteria met</w:t>
            </w:r>
          </w:p>
          <w:p w:rsidRPr="00F4276E" w:rsidR="002C24B5" w:rsidP="00BC5FA0" w:rsidRDefault="002C24B5">
            <w:pPr>
              <w:numPr>
                <w:ilvl w:val="0"/>
                <w:numId w:val="11"/>
              </w:numPr>
              <w:autoSpaceDE w:val="0"/>
              <w:autoSpaceDN w:val="0"/>
              <w:spacing w:before="40" w:after="40"/>
              <w:ind w:left="605" w:right="113"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Rag rating</w:t>
            </w:r>
          </w:p>
          <w:p w:rsidRPr="00F4276E" w:rsidR="002C24B5" w:rsidP="00BC5FA0" w:rsidRDefault="002C24B5">
            <w:pPr>
              <w:numPr>
                <w:ilvl w:val="0"/>
                <w:numId w:val="11"/>
              </w:numPr>
              <w:autoSpaceDE w:val="0"/>
              <w:autoSpaceDN w:val="0"/>
              <w:spacing w:before="40" w:after="40"/>
              <w:ind w:left="605" w:right="113"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F4276E">
              <w:rPr>
                <w:rFonts w:ascii="Arial" w:hAnsi="Arial" w:cs="Arial"/>
              </w:rPr>
              <w:t>Actions</w:t>
            </w:r>
          </w:p>
          <w:p w:rsidRPr="00F4276E" w:rsidR="002C24B5" w:rsidP="00BC5FA0" w:rsidRDefault="002C24B5">
            <w:pPr>
              <w:spacing w:before="0" w:after="0"/>
              <w:ind w:left="113" w:right="113"/>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rPr>
              <w:t xml:space="preserve">Will also add in </w:t>
            </w:r>
            <w:r w:rsidRPr="00F4276E">
              <w:rPr>
                <w:rFonts w:ascii="Arial" w:hAnsi="Arial" w:cs="Arial"/>
                <w:i/>
              </w:rPr>
              <w:t>completion dates</w:t>
            </w:r>
            <w:r w:rsidRPr="00F4276E">
              <w:rPr>
                <w:rFonts w:ascii="Arial" w:hAnsi="Arial" w:cs="Arial"/>
              </w:rPr>
              <w:t xml:space="preserve"> to action column</w:t>
            </w:r>
          </w:p>
        </w:tc>
        <w:tc>
          <w:tcPr>
            <w:tcW w:w="1878"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Work already being done</w:t>
            </w:r>
          </w:p>
        </w:tc>
        <w:tc>
          <w:tcPr>
            <w:tcW w:w="1898" w:type="dxa"/>
          </w:tcPr>
          <w:p w:rsidRPr="00F4276E" w:rsidR="002C24B5" w:rsidP="00BC5FA0" w:rsidRDefault="002C24B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4276E">
              <w:rPr>
                <w:rFonts w:ascii="Arial" w:hAnsi="Arial" w:cs="Arial"/>
                <w:color w:val="000000"/>
              </w:rPr>
              <w:t>Head of Partnerships and Commissioning</w:t>
            </w:r>
          </w:p>
        </w:tc>
      </w:tr>
    </w:tbl>
    <w:p w:rsidR="00F4276E" w:rsidP="00066E59" w:rsidRDefault="00F4276E">
      <w:pPr>
        <w:pStyle w:val="BodyText"/>
        <w:tabs>
          <w:tab w:val="clear" w:pos="709"/>
          <w:tab w:val="left" w:pos="0"/>
        </w:tabs>
        <w:spacing w:before="120" w:after="120"/>
        <w:ind w:left="720" w:hanging="720"/>
        <w:rPr>
          <w:rFonts w:ascii="Arial" w:hAnsi="Arial" w:cs="Arial"/>
          <w:i/>
          <w:color w:val="000000"/>
          <w:sz w:val="22"/>
          <w:szCs w:val="22"/>
        </w:rPr>
      </w:pPr>
    </w:p>
    <w:p w:rsidR="00F4276E" w:rsidP="00066E59" w:rsidRDefault="00F4276E">
      <w:pPr>
        <w:pStyle w:val="BodyText"/>
        <w:tabs>
          <w:tab w:val="clear" w:pos="709"/>
          <w:tab w:val="left" w:pos="0"/>
        </w:tabs>
        <w:spacing w:before="120" w:after="120"/>
        <w:ind w:left="720" w:hanging="720"/>
        <w:rPr>
          <w:rFonts w:ascii="Arial" w:hAnsi="Arial" w:cs="Arial"/>
          <w:i/>
          <w:color w:val="000000"/>
          <w:sz w:val="22"/>
          <w:szCs w:val="22"/>
        </w:rPr>
      </w:pPr>
    </w:p>
    <w:p w:rsidR="00F4276E" w:rsidP="00066E59" w:rsidRDefault="00F4276E">
      <w:pPr>
        <w:pStyle w:val="BodyText"/>
        <w:tabs>
          <w:tab w:val="clear" w:pos="709"/>
          <w:tab w:val="left" w:pos="0"/>
        </w:tabs>
        <w:spacing w:before="120" w:after="120"/>
        <w:ind w:left="720" w:hanging="720"/>
        <w:rPr>
          <w:rFonts w:ascii="Arial" w:hAnsi="Arial" w:cs="Arial"/>
          <w:i/>
          <w:color w:val="000000"/>
          <w:sz w:val="22"/>
          <w:szCs w:val="22"/>
        </w:rPr>
      </w:pPr>
    </w:p>
    <w:p w:rsidR="00F4276E" w:rsidP="00066E59" w:rsidRDefault="00F4276E">
      <w:pPr>
        <w:pStyle w:val="BodyText"/>
        <w:tabs>
          <w:tab w:val="clear" w:pos="709"/>
          <w:tab w:val="left" w:pos="0"/>
        </w:tabs>
        <w:spacing w:before="120" w:after="120"/>
        <w:ind w:left="720" w:hanging="720"/>
        <w:rPr>
          <w:rFonts w:ascii="Arial" w:hAnsi="Arial" w:cs="Arial"/>
          <w:i/>
          <w:color w:val="000000"/>
          <w:sz w:val="22"/>
          <w:szCs w:val="22"/>
        </w:rPr>
      </w:pPr>
    </w:p>
    <w:p w:rsidR="002C24B5" w:rsidP="00066E59" w:rsidRDefault="002C24B5">
      <w:pPr>
        <w:pStyle w:val="BodyText"/>
        <w:tabs>
          <w:tab w:val="clear" w:pos="709"/>
          <w:tab w:val="left" w:pos="0"/>
        </w:tabs>
        <w:spacing w:before="120" w:after="120"/>
        <w:ind w:left="720" w:hanging="720"/>
        <w:rPr>
          <w:rFonts w:ascii="Arial" w:hAnsi="Arial" w:cs="Arial"/>
          <w:i/>
          <w:color w:val="000000"/>
          <w:sz w:val="22"/>
          <w:szCs w:val="22"/>
        </w:rPr>
        <w:sectPr w:rsidR="002C24B5" w:rsidSect="002C24B5">
          <w:pgSz w:w="16838" w:h="11906" w:orient="landscape"/>
          <w:pgMar w:top="1797" w:right="1440" w:bottom="1797" w:left="1440" w:header="709" w:footer="709" w:gutter="0"/>
          <w:cols w:space="708"/>
          <w:docGrid w:linePitch="360"/>
        </w:sectPr>
      </w:pPr>
    </w:p>
    <w:p w:rsidRPr="00066E59" w:rsidR="00066E59" w:rsidP="003C4560" w:rsidRDefault="00066E59">
      <w:pPr>
        <w:pStyle w:val="BodyText"/>
        <w:spacing w:before="120" w:after="120"/>
        <w:ind w:left="705" w:hanging="705"/>
        <w:jc w:val="left"/>
        <w:rPr>
          <w:rFonts w:ascii="Arial" w:hAnsi="Arial" w:cs="Arial"/>
          <w:i/>
          <w:sz w:val="22"/>
          <w:szCs w:val="22"/>
        </w:rPr>
      </w:pPr>
      <w:r w:rsidRPr="00066E59">
        <w:rPr>
          <w:rFonts w:ascii="Arial" w:hAnsi="Arial" w:cs="Arial"/>
          <w:sz w:val="22"/>
          <w:szCs w:val="22"/>
        </w:rPr>
        <w:lastRenderedPageBreak/>
        <w:t>12.</w:t>
      </w:r>
      <w:r w:rsidRPr="00066E59">
        <w:rPr>
          <w:rFonts w:ascii="Arial" w:hAnsi="Arial" w:cs="Arial"/>
          <w:sz w:val="22"/>
          <w:szCs w:val="22"/>
        </w:rPr>
        <w:tab/>
        <w:t xml:space="preserve">The conclusion was </w:t>
      </w:r>
      <w:r w:rsidRPr="00066E59">
        <w:rPr>
          <w:rFonts w:ascii="Arial" w:hAnsi="Arial" w:cs="Arial"/>
          <w:i/>
          <w:sz w:val="22"/>
          <w:szCs w:val="22"/>
        </w:rPr>
        <w:t>‘</w:t>
      </w:r>
      <w:r w:rsidRPr="00066E59">
        <w:rPr>
          <w:rFonts w:ascii="Arial" w:hAnsi="Arial" w:cs="Arial"/>
          <w:bCs/>
          <w:i/>
          <w:color w:val="000000"/>
          <w:sz w:val="22"/>
          <w:szCs w:val="22"/>
        </w:rPr>
        <w:t>Taking account of the issues identified, the</w:t>
      </w:r>
      <w:r w:rsidRPr="00066E59">
        <w:rPr>
          <w:i/>
          <w:color w:val="000000"/>
          <w:sz w:val="22"/>
          <w:szCs w:val="22"/>
        </w:rPr>
        <w:t xml:space="preserve"> </w:t>
      </w:r>
      <w:r w:rsidRPr="00066E59">
        <w:rPr>
          <w:rFonts w:ascii="Arial" w:hAnsi="Arial" w:cs="Arial"/>
          <w:bCs/>
          <w:i/>
          <w:color w:val="000000"/>
          <w:sz w:val="22"/>
          <w:szCs w:val="22"/>
        </w:rPr>
        <w:t xml:space="preserve"> Leicestershire Police and Crime Commissioner and Leicestershire Police can take substantial assurance that the controls upon which they rely to manage this risk are suitably designed, consistently applied and effective.’</w:t>
      </w:r>
    </w:p>
    <w:p w:rsidRPr="00172084" w:rsidR="00216624" w:rsidP="003C4560" w:rsidRDefault="00172084">
      <w:pPr>
        <w:rPr>
          <w:rFonts w:ascii="Arial" w:hAnsi="Arial" w:cs="Arial"/>
          <w:b/>
          <w:sz w:val="22"/>
          <w:szCs w:val="22"/>
          <w:u w:val="single"/>
        </w:rPr>
      </w:pPr>
      <w:r w:rsidRPr="00172084">
        <w:rPr>
          <w:rFonts w:ascii="Arial" w:hAnsi="Arial" w:cs="Arial"/>
          <w:b/>
          <w:sz w:val="22"/>
          <w:szCs w:val="22"/>
          <w:u w:val="single"/>
        </w:rPr>
        <w:t>Partnerships</w:t>
      </w:r>
    </w:p>
    <w:p w:rsidR="00216624" w:rsidP="003C4560" w:rsidRDefault="00216624">
      <w:pPr>
        <w:pStyle w:val="ListParagraph"/>
        <w:rPr>
          <w:rFonts w:ascii="Arial" w:hAnsi="Arial" w:cs="Arial"/>
          <w:color w:val="FF0000"/>
          <w:sz w:val="22"/>
          <w:szCs w:val="22"/>
        </w:rPr>
      </w:pPr>
    </w:p>
    <w:p w:rsidR="00AC398B" w:rsidP="003C4560" w:rsidRDefault="00AC398B">
      <w:pPr>
        <w:ind w:left="720" w:hanging="720"/>
        <w:rPr>
          <w:rFonts w:ascii="Arial" w:hAnsi="Arial" w:cs="Arial"/>
          <w:sz w:val="22"/>
          <w:szCs w:val="22"/>
        </w:rPr>
      </w:pPr>
      <w:r w:rsidRPr="00AC398B">
        <w:rPr>
          <w:rFonts w:ascii="Arial" w:hAnsi="Arial" w:cs="Arial"/>
          <w:sz w:val="22"/>
          <w:szCs w:val="22"/>
        </w:rPr>
        <w:t>13.</w:t>
      </w:r>
      <w:r w:rsidRPr="00AC398B">
        <w:rPr>
          <w:rFonts w:ascii="Arial" w:hAnsi="Arial" w:cs="Arial"/>
          <w:sz w:val="22"/>
          <w:szCs w:val="22"/>
        </w:rPr>
        <w:tab/>
        <w:t xml:space="preserve">A review of the Strategic Partnership Board, its Executive Board and sub-groups has commenced. </w:t>
      </w:r>
      <w:r>
        <w:rPr>
          <w:rFonts w:ascii="Arial" w:hAnsi="Arial" w:cs="Arial"/>
          <w:sz w:val="22"/>
          <w:szCs w:val="22"/>
        </w:rPr>
        <w:t>The terms of reference of the Boards have been reviewed, objectives have been clarified, 2015/16 priorities identified and memberships updated. Specific developments include:</w:t>
      </w:r>
    </w:p>
    <w:p w:rsidR="00AC398B" w:rsidP="003C4560" w:rsidRDefault="00AC398B">
      <w:pPr>
        <w:ind w:left="720" w:hanging="720"/>
        <w:rPr>
          <w:rFonts w:ascii="Arial" w:hAnsi="Arial" w:cs="Arial"/>
          <w:sz w:val="22"/>
          <w:szCs w:val="22"/>
        </w:rPr>
      </w:pPr>
    </w:p>
    <w:p w:rsidRPr="00AC398B" w:rsidR="00AC398B" w:rsidP="003C4560" w:rsidRDefault="00AC398B">
      <w:pPr>
        <w:pStyle w:val="ListParagraph"/>
        <w:numPr>
          <w:ilvl w:val="0"/>
          <w:numId w:val="12"/>
        </w:numPr>
        <w:rPr>
          <w:rFonts w:ascii="Arial" w:hAnsi="Arial" w:cs="Arial"/>
          <w:sz w:val="22"/>
          <w:szCs w:val="22"/>
        </w:rPr>
      </w:pPr>
      <w:r w:rsidRPr="00AC398B">
        <w:rPr>
          <w:rFonts w:ascii="Arial" w:hAnsi="Arial" w:cs="Arial"/>
          <w:sz w:val="22"/>
          <w:szCs w:val="22"/>
          <w:u w:val="single"/>
        </w:rPr>
        <w:t>The Troubled Families Group</w:t>
      </w:r>
      <w:r w:rsidRPr="00AC398B">
        <w:rPr>
          <w:rFonts w:ascii="Arial" w:hAnsi="Arial" w:cs="Arial"/>
          <w:sz w:val="22"/>
          <w:szCs w:val="22"/>
        </w:rPr>
        <w:t xml:space="preserve"> - this was established during the introduction of the troubled families’ programmes. It is no longer required in its current form and will be replaced by a new Managing Demand for Better Outcomes Group. This Group will focus on hotspot locations and individuals, as well as aligning priorities to demand, in collaboration with relevant partners. </w:t>
      </w:r>
    </w:p>
    <w:p w:rsidRPr="009A259D" w:rsidR="009D4E0C" w:rsidP="003C4560" w:rsidRDefault="009D4E0C">
      <w:pPr>
        <w:pStyle w:val="ListParagraph"/>
        <w:rPr>
          <w:rFonts w:ascii="Arial" w:hAnsi="Arial" w:cs="Arial"/>
          <w:color w:val="FF0000"/>
          <w:sz w:val="22"/>
          <w:szCs w:val="22"/>
        </w:rPr>
      </w:pPr>
    </w:p>
    <w:p w:rsidRPr="00AC398B" w:rsidR="00AC398B" w:rsidP="003C4560" w:rsidRDefault="00AC398B">
      <w:pPr>
        <w:pStyle w:val="ListParagraph"/>
        <w:numPr>
          <w:ilvl w:val="0"/>
          <w:numId w:val="12"/>
        </w:numPr>
        <w:rPr>
          <w:rFonts w:ascii="Arial" w:hAnsi="Arial" w:cs="Arial"/>
          <w:sz w:val="22"/>
          <w:szCs w:val="22"/>
        </w:rPr>
      </w:pPr>
      <w:r w:rsidRPr="00AC398B">
        <w:rPr>
          <w:rFonts w:ascii="Arial" w:hAnsi="Arial" w:cs="Arial"/>
          <w:sz w:val="22"/>
          <w:szCs w:val="22"/>
          <w:u w:val="single"/>
        </w:rPr>
        <w:t>Criminal Justice Effectiveness and Efficiency Group</w:t>
      </w:r>
      <w:r w:rsidRPr="00AC398B">
        <w:rPr>
          <w:rFonts w:ascii="Arial" w:hAnsi="Arial" w:cs="Arial"/>
          <w:sz w:val="22"/>
          <w:szCs w:val="22"/>
        </w:rPr>
        <w:t xml:space="preserve"> - </w:t>
      </w:r>
      <w:r>
        <w:rPr>
          <w:rFonts w:ascii="Arial" w:hAnsi="Arial" w:cs="Arial"/>
          <w:sz w:val="22"/>
          <w:szCs w:val="22"/>
        </w:rPr>
        <w:t>d</w:t>
      </w:r>
      <w:r w:rsidRPr="00AC398B">
        <w:rPr>
          <w:rFonts w:ascii="Arial" w:hAnsi="Arial" w:cs="Arial"/>
          <w:sz w:val="22"/>
          <w:szCs w:val="22"/>
        </w:rPr>
        <w:t>iscussions are on-going to establish a Regional Criminal Justice Board, reflecting the regional scope of Criminal Justice. A local Criminal Justice Effectiveness &amp; Efficiency Group is being established</w:t>
      </w:r>
      <w:r>
        <w:rPr>
          <w:rFonts w:ascii="Arial" w:hAnsi="Arial" w:cs="Arial"/>
          <w:sz w:val="22"/>
          <w:szCs w:val="22"/>
        </w:rPr>
        <w:t>,</w:t>
      </w:r>
      <w:r w:rsidRPr="00AC398B">
        <w:rPr>
          <w:rFonts w:ascii="Arial" w:hAnsi="Arial" w:cs="Arial"/>
          <w:sz w:val="22"/>
          <w:szCs w:val="22"/>
        </w:rPr>
        <w:t xml:space="preserve"> in the interim</w:t>
      </w:r>
      <w:r>
        <w:rPr>
          <w:rFonts w:ascii="Arial" w:hAnsi="Arial" w:cs="Arial"/>
          <w:sz w:val="22"/>
          <w:szCs w:val="22"/>
        </w:rPr>
        <w:t>,</w:t>
      </w:r>
      <w:r w:rsidRPr="00AC398B">
        <w:rPr>
          <w:rFonts w:ascii="Arial" w:hAnsi="Arial" w:cs="Arial"/>
          <w:sz w:val="22"/>
          <w:szCs w:val="22"/>
        </w:rPr>
        <w:t xml:space="preserve"> to disseminate the East Midlands Criminal Justice Plan locally, consider national criminal justice objectives, local performance, and provide operational updates.</w:t>
      </w:r>
    </w:p>
    <w:p w:rsidR="00216624" w:rsidP="003C4560" w:rsidRDefault="00216624">
      <w:pPr>
        <w:ind w:left="705"/>
        <w:rPr>
          <w:rFonts w:ascii="Arial" w:hAnsi="Arial" w:cs="Arial"/>
          <w:sz w:val="22"/>
          <w:szCs w:val="22"/>
        </w:rPr>
      </w:pPr>
    </w:p>
    <w:p w:rsidRPr="00AC398B" w:rsidR="00AC398B" w:rsidP="003C4560" w:rsidRDefault="00AC398B">
      <w:pPr>
        <w:pStyle w:val="ListParagraph"/>
        <w:numPr>
          <w:ilvl w:val="0"/>
          <w:numId w:val="12"/>
        </w:numPr>
        <w:autoSpaceDE w:val="0"/>
        <w:autoSpaceDN w:val="0"/>
        <w:adjustRightInd w:val="0"/>
        <w:rPr>
          <w:rFonts w:ascii="Arial" w:hAnsi="Arial" w:cs="Arial"/>
          <w:sz w:val="22"/>
          <w:szCs w:val="22"/>
        </w:rPr>
      </w:pPr>
      <w:r w:rsidRPr="00AC398B">
        <w:rPr>
          <w:rFonts w:ascii="Arial" w:hAnsi="Arial" w:cs="Arial"/>
          <w:sz w:val="22"/>
          <w:szCs w:val="22"/>
          <w:u w:val="single"/>
        </w:rPr>
        <w:t>Organised Crime Board</w:t>
      </w:r>
      <w:r w:rsidRPr="00AC398B">
        <w:rPr>
          <w:rFonts w:ascii="Arial" w:hAnsi="Arial" w:cs="Arial"/>
          <w:sz w:val="22"/>
          <w:szCs w:val="22"/>
        </w:rPr>
        <w:t xml:space="preserve"> –</w:t>
      </w:r>
      <w:r>
        <w:rPr>
          <w:rFonts w:ascii="Arial" w:hAnsi="Arial" w:cs="Arial"/>
          <w:sz w:val="22"/>
          <w:szCs w:val="22"/>
        </w:rPr>
        <w:t xml:space="preserve"> this Group</w:t>
      </w:r>
      <w:r w:rsidRPr="00AC398B">
        <w:rPr>
          <w:rFonts w:ascii="Arial" w:hAnsi="Arial" w:cs="Arial"/>
          <w:sz w:val="22"/>
          <w:szCs w:val="22"/>
        </w:rPr>
        <w:t xml:space="preserve"> is in the process of being established. It will ensure that local partners have a common understanding of the threat from serious and organised crime and will seek to ensure that local action against serious and organised crime draws on the information and powers of all partners. A first draft of the sub regional Local Profile (LP) has been prepared and threats identified. Partners will be consulted on the draft LP priorities will be determined, the</w:t>
      </w:r>
      <w:r>
        <w:rPr>
          <w:rFonts w:ascii="Arial" w:hAnsi="Arial" w:cs="Arial"/>
          <w:sz w:val="22"/>
          <w:szCs w:val="22"/>
        </w:rPr>
        <w:t xml:space="preserve"> Board’s membership established</w:t>
      </w:r>
      <w:r w:rsidRPr="00AC398B">
        <w:rPr>
          <w:rFonts w:ascii="Arial" w:hAnsi="Arial" w:cs="Arial"/>
          <w:sz w:val="22"/>
          <w:szCs w:val="22"/>
        </w:rPr>
        <w:t xml:space="preserve"> and terms of reference agreed.</w:t>
      </w:r>
    </w:p>
    <w:p w:rsidR="005106E9" w:rsidP="003C4560" w:rsidRDefault="005106E9">
      <w:pPr>
        <w:pStyle w:val="ListParagraph"/>
        <w:rPr>
          <w:rFonts w:ascii="Arial" w:hAnsi="Arial" w:cs="Arial"/>
          <w:color w:val="FF0000"/>
          <w:sz w:val="22"/>
          <w:szCs w:val="22"/>
        </w:rPr>
      </w:pPr>
    </w:p>
    <w:p w:rsidRPr="00AC398B" w:rsidR="00AC398B" w:rsidP="003C4560" w:rsidRDefault="00AC398B">
      <w:pPr>
        <w:pStyle w:val="ListParagraph"/>
        <w:numPr>
          <w:ilvl w:val="0"/>
          <w:numId w:val="12"/>
        </w:numPr>
        <w:autoSpaceDE w:val="0"/>
        <w:autoSpaceDN w:val="0"/>
        <w:adjustRightInd w:val="0"/>
        <w:rPr>
          <w:rFonts w:ascii="Arial" w:hAnsi="Arial" w:cs="Arial"/>
          <w:sz w:val="22"/>
          <w:szCs w:val="22"/>
        </w:rPr>
      </w:pPr>
      <w:r w:rsidRPr="00AC398B">
        <w:rPr>
          <w:rFonts w:ascii="Arial" w:hAnsi="Arial" w:cs="Arial"/>
          <w:sz w:val="22"/>
          <w:szCs w:val="22"/>
          <w:u w:val="single"/>
        </w:rPr>
        <w:t>Victims and Witnesses Partnership Assurance Group</w:t>
      </w:r>
      <w:r w:rsidRPr="00AC398B">
        <w:rPr>
          <w:rFonts w:ascii="Arial" w:hAnsi="Arial" w:cs="Arial"/>
          <w:sz w:val="22"/>
          <w:szCs w:val="22"/>
        </w:rPr>
        <w:t xml:space="preserve"> - </w:t>
      </w:r>
      <w:r>
        <w:rPr>
          <w:rFonts w:ascii="Arial" w:hAnsi="Arial" w:cs="Arial"/>
          <w:sz w:val="22"/>
          <w:szCs w:val="22"/>
        </w:rPr>
        <w:t>a</w:t>
      </w:r>
      <w:r w:rsidRPr="00AC398B">
        <w:rPr>
          <w:rFonts w:ascii="Arial" w:hAnsi="Arial" w:cs="Arial"/>
          <w:sz w:val="22"/>
          <w:szCs w:val="22"/>
        </w:rPr>
        <w:t xml:space="preserve"> new Chair for the Victims and Witnesses Partnership Assurance Group has been identified to provide consistency and clearer links to the commissioning of Victim First and associated services. Consultation with attendees is currently underway to review the terms of reference, membership, and future role of the Group.</w:t>
      </w:r>
    </w:p>
    <w:p w:rsidR="00AC398B" w:rsidP="003C4560" w:rsidRDefault="00AC398B">
      <w:pPr>
        <w:pStyle w:val="ListParagraph"/>
        <w:rPr>
          <w:rFonts w:ascii="Arial" w:hAnsi="Arial" w:cs="Arial"/>
          <w:color w:val="FF0000"/>
          <w:sz w:val="22"/>
          <w:szCs w:val="22"/>
        </w:rPr>
      </w:pPr>
    </w:p>
    <w:p w:rsidRPr="00EC6CB9" w:rsidR="005106E9" w:rsidP="003C4560" w:rsidRDefault="005106E9">
      <w:pPr>
        <w:pStyle w:val="Header"/>
        <w:tabs>
          <w:tab w:val="clear" w:pos="4153"/>
          <w:tab w:val="clear" w:pos="8306"/>
        </w:tabs>
        <w:rPr>
          <w:rFonts w:ascii="Arial" w:hAnsi="Arial" w:cs="Arial"/>
          <w:b/>
          <w:sz w:val="22"/>
          <w:szCs w:val="22"/>
          <w:u w:val="single"/>
        </w:rPr>
      </w:pPr>
      <w:r w:rsidRPr="00EC6CB9">
        <w:rPr>
          <w:rFonts w:ascii="Arial" w:hAnsi="Arial" w:cs="Arial"/>
          <w:b/>
          <w:sz w:val="22"/>
          <w:szCs w:val="22"/>
          <w:u w:val="single"/>
        </w:rPr>
        <w:t>Conclusion</w:t>
      </w:r>
    </w:p>
    <w:p w:rsidRPr="00EC6CB9" w:rsidR="007243B4" w:rsidP="003C4560" w:rsidRDefault="007243B4">
      <w:pPr>
        <w:pStyle w:val="Header"/>
        <w:tabs>
          <w:tab w:val="clear" w:pos="4153"/>
          <w:tab w:val="clear" w:pos="8306"/>
        </w:tabs>
        <w:ind w:left="720" w:hanging="720"/>
        <w:rPr>
          <w:rFonts w:ascii="Arial" w:hAnsi="Arial" w:cs="Arial"/>
          <w:sz w:val="22"/>
          <w:szCs w:val="22"/>
        </w:rPr>
      </w:pPr>
    </w:p>
    <w:p w:rsidRPr="00B4530C" w:rsidR="00B4530C" w:rsidP="003C4560" w:rsidRDefault="005653E4">
      <w:pPr>
        <w:numPr>
          <w:ilvl w:val="0"/>
          <w:numId w:val="15"/>
        </w:numPr>
        <w:rPr>
          <w:rFonts w:ascii="Arial" w:hAnsi="Arial" w:cs="Arial"/>
          <w:sz w:val="22"/>
          <w:szCs w:val="22"/>
          <w:lang w:eastAsia="en-GB"/>
        </w:rPr>
      </w:pPr>
      <w:r w:rsidRPr="00B4530C">
        <w:rPr>
          <w:rFonts w:ascii="Arial" w:hAnsi="Arial" w:cs="Arial"/>
          <w:sz w:val="22"/>
          <w:szCs w:val="22"/>
        </w:rPr>
        <w:t xml:space="preserve">A significant amount of work has been taken forward in respect of </w:t>
      </w:r>
      <w:r w:rsidRPr="00B4530C" w:rsidR="00AC398B">
        <w:rPr>
          <w:rFonts w:ascii="Arial" w:hAnsi="Arial" w:cs="Arial"/>
          <w:sz w:val="22"/>
          <w:szCs w:val="22"/>
        </w:rPr>
        <w:t xml:space="preserve">both Partnerships and </w:t>
      </w:r>
      <w:r w:rsidRPr="00B4530C">
        <w:rPr>
          <w:rFonts w:ascii="Arial" w:hAnsi="Arial" w:cs="Arial"/>
          <w:sz w:val="22"/>
          <w:szCs w:val="22"/>
        </w:rPr>
        <w:t>Commissioning since the last update to the JARAP</w:t>
      </w:r>
      <w:r w:rsidRPr="00B4530C" w:rsidR="00EC6CB9">
        <w:rPr>
          <w:rFonts w:ascii="Arial" w:hAnsi="Arial" w:cs="Arial"/>
          <w:sz w:val="22"/>
          <w:szCs w:val="22"/>
        </w:rPr>
        <w:t xml:space="preserve"> i</w:t>
      </w:r>
      <w:r w:rsidRPr="00B4530C" w:rsidR="00AC398B">
        <w:rPr>
          <w:rFonts w:ascii="Arial" w:hAnsi="Arial" w:cs="Arial"/>
          <w:sz w:val="22"/>
          <w:szCs w:val="22"/>
        </w:rPr>
        <w:t>n December 2014.</w:t>
      </w:r>
      <w:r w:rsidRPr="00B4530C" w:rsidR="00EC6CB9">
        <w:rPr>
          <w:rFonts w:ascii="Arial" w:hAnsi="Arial" w:cs="Arial"/>
          <w:sz w:val="22"/>
          <w:szCs w:val="22"/>
        </w:rPr>
        <w:t xml:space="preserve"> Comprehensive induction plans are in place to ensure that the new Partnerships and Commissioning Team is able to deliver </w:t>
      </w:r>
      <w:r w:rsidRPr="00B4530C" w:rsidR="00B4530C">
        <w:rPr>
          <w:rFonts w:ascii="Arial" w:hAnsi="Arial" w:cs="Arial"/>
          <w:sz w:val="22"/>
          <w:szCs w:val="22"/>
        </w:rPr>
        <w:t>the Commissioning Framework in support of the strategic priorities set out in the Police and Crime Plan.</w:t>
      </w:r>
      <w:r w:rsidRPr="00B4530C" w:rsidR="00B4530C">
        <w:rPr>
          <w:sz w:val="24"/>
        </w:rPr>
        <w:t xml:space="preserve"> </w:t>
      </w:r>
      <w:r w:rsidRPr="00B4530C" w:rsidR="00B4530C">
        <w:rPr>
          <w:rFonts w:ascii="Arial" w:hAnsi="Arial" w:cs="Arial"/>
          <w:sz w:val="22"/>
          <w:szCs w:val="22"/>
        </w:rPr>
        <w:t xml:space="preserve">Key to this will be </w:t>
      </w:r>
      <w:r w:rsidR="00B4530C">
        <w:rPr>
          <w:rFonts w:ascii="Arial" w:hAnsi="Arial" w:cs="Arial"/>
          <w:sz w:val="22"/>
          <w:szCs w:val="22"/>
          <w:lang w:eastAsia="en-GB"/>
        </w:rPr>
        <w:t>establishing, and maintaining</w:t>
      </w:r>
      <w:r w:rsidRPr="00B4530C" w:rsidR="00B4530C">
        <w:rPr>
          <w:rFonts w:ascii="Arial" w:hAnsi="Arial" w:cs="Arial"/>
          <w:sz w:val="22"/>
          <w:szCs w:val="22"/>
          <w:lang w:eastAsia="en-GB"/>
        </w:rPr>
        <w:t xml:space="preserve">, effective and productive relationships </w:t>
      </w:r>
      <w:r w:rsidR="00B4530C">
        <w:rPr>
          <w:rFonts w:ascii="Arial" w:hAnsi="Arial" w:cs="Arial"/>
          <w:sz w:val="22"/>
          <w:szCs w:val="22"/>
          <w:lang w:eastAsia="en-GB"/>
        </w:rPr>
        <w:t>with</w:t>
      </w:r>
      <w:r w:rsidRPr="00B4530C" w:rsidR="00B4530C">
        <w:rPr>
          <w:rFonts w:ascii="Arial" w:hAnsi="Arial" w:cs="Arial"/>
          <w:sz w:val="22"/>
          <w:szCs w:val="22"/>
          <w:lang w:eastAsia="en-GB"/>
        </w:rPr>
        <w:t xml:space="preserve"> key partners and other stakeholders.</w:t>
      </w:r>
    </w:p>
    <w:p w:rsidR="003C4560" w:rsidRDefault="003C4560">
      <w:pPr>
        <w:rPr>
          <w:rFonts w:ascii="Arial" w:hAnsi="Arial" w:cs="Arial"/>
          <w:b/>
          <w:sz w:val="22"/>
          <w:szCs w:val="22"/>
          <w:u w:val="single"/>
        </w:rPr>
      </w:pPr>
      <w:r>
        <w:rPr>
          <w:rFonts w:ascii="Arial" w:hAnsi="Arial" w:cs="Arial"/>
          <w:b/>
          <w:sz w:val="22"/>
          <w:szCs w:val="22"/>
          <w:u w:val="single"/>
        </w:rPr>
        <w:br w:type="page"/>
      </w:r>
    </w:p>
    <w:p w:rsidR="00216624" w:rsidP="003C4560" w:rsidRDefault="00216624">
      <w:pPr>
        <w:pStyle w:val="Header"/>
        <w:tabs>
          <w:tab w:val="clear" w:pos="4153"/>
          <w:tab w:val="clear" w:pos="8306"/>
        </w:tabs>
        <w:rPr>
          <w:rFonts w:ascii="Arial" w:hAnsi="Arial" w:cs="Arial"/>
          <w:b/>
          <w:sz w:val="22"/>
          <w:szCs w:val="22"/>
          <w:u w:val="single"/>
        </w:rPr>
      </w:pPr>
    </w:p>
    <w:p w:rsidR="00FD7250" w:rsidP="003C4560" w:rsidRDefault="00FD7250">
      <w:pPr>
        <w:pStyle w:val="Header"/>
        <w:tabs>
          <w:tab w:val="clear" w:pos="4153"/>
          <w:tab w:val="clear" w:pos="8306"/>
        </w:tabs>
        <w:rPr>
          <w:rFonts w:ascii="Arial" w:hAnsi="Arial" w:cs="Arial"/>
          <w:b/>
          <w:sz w:val="22"/>
          <w:szCs w:val="22"/>
          <w:u w:val="single"/>
        </w:rPr>
      </w:pPr>
      <w:r w:rsidRPr="00B47FD5">
        <w:rPr>
          <w:rFonts w:ascii="Arial" w:hAnsi="Arial" w:cs="Arial"/>
          <w:b/>
          <w:sz w:val="22"/>
          <w:szCs w:val="22"/>
          <w:u w:val="single"/>
        </w:rPr>
        <w:t>Implications</w:t>
      </w:r>
    </w:p>
    <w:tbl>
      <w:tblPr>
        <w:tblW w:w="0" w:type="auto"/>
        <w:tblLook w:val="01E0" w:firstRow="1" w:lastRow="1" w:firstColumn="1" w:lastColumn="1" w:noHBand="0" w:noVBand="0"/>
      </w:tblPr>
      <w:tblGrid>
        <w:gridCol w:w="3301"/>
        <w:gridCol w:w="5227"/>
      </w:tblGrid>
      <w:tr w:rsidRPr="008000B8" w:rsidR="00C66AF0" w:rsidTr="003C4560">
        <w:tc>
          <w:tcPr>
            <w:tcW w:w="3301" w:type="dxa"/>
            <w:shd w:val="clear" w:color="auto" w:fill="auto"/>
          </w:tcPr>
          <w:p w:rsidRPr="008000B8" w:rsidR="00C66AF0" w:rsidP="003C4560"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Financial :</w:t>
            </w:r>
          </w:p>
        </w:tc>
        <w:tc>
          <w:tcPr>
            <w:tcW w:w="5227" w:type="dxa"/>
            <w:shd w:val="clear" w:color="auto" w:fill="auto"/>
          </w:tcPr>
          <w:p w:rsidRPr="008000B8" w:rsidR="00C66AF0" w:rsidP="003C4560"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financial implications associated with this report.</w:t>
            </w:r>
          </w:p>
          <w:p w:rsidRPr="008000B8" w:rsidR="00C66AF0" w:rsidP="003C4560" w:rsidRDefault="00C66AF0">
            <w:pPr>
              <w:pStyle w:val="Header"/>
              <w:tabs>
                <w:tab w:val="clear" w:pos="4153"/>
                <w:tab w:val="clear" w:pos="8306"/>
              </w:tabs>
              <w:rPr>
                <w:rFonts w:ascii="Arial" w:hAnsi="Arial" w:cs="Arial"/>
                <w:sz w:val="22"/>
                <w:szCs w:val="22"/>
              </w:rPr>
            </w:pPr>
          </w:p>
        </w:tc>
      </w:tr>
      <w:tr w:rsidRPr="008000B8" w:rsidR="00C66AF0" w:rsidTr="003C4560">
        <w:tc>
          <w:tcPr>
            <w:tcW w:w="3301" w:type="dxa"/>
            <w:shd w:val="clear" w:color="auto" w:fill="auto"/>
          </w:tcPr>
          <w:p w:rsidRPr="008000B8" w:rsidR="00C66AF0" w:rsidP="003C4560"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 xml:space="preserve">Legal : </w:t>
            </w:r>
          </w:p>
        </w:tc>
        <w:tc>
          <w:tcPr>
            <w:tcW w:w="5227" w:type="dxa"/>
            <w:shd w:val="clear" w:color="auto" w:fill="auto"/>
          </w:tcPr>
          <w:p w:rsidRPr="008000B8" w:rsidR="00C66AF0" w:rsidP="003C4560"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p w:rsidRPr="008000B8" w:rsidR="00C66AF0" w:rsidP="003C4560" w:rsidRDefault="00C66AF0">
            <w:pPr>
              <w:pStyle w:val="Header"/>
              <w:tabs>
                <w:tab w:val="clear" w:pos="4153"/>
                <w:tab w:val="clear" w:pos="8306"/>
              </w:tabs>
              <w:rPr>
                <w:rFonts w:ascii="Arial" w:hAnsi="Arial" w:cs="Arial"/>
                <w:sz w:val="22"/>
                <w:szCs w:val="22"/>
              </w:rPr>
            </w:pPr>
          </w:p>
        </w:tc>
      </w:tr>
      <w:tr w:rsidRPr="008000B8" w:rsidR="00C66AF0" w:rsidTr="003C4560">
        <w:tc>
          <w:tcPr>
            <w:tcW w:w="3301" w:type="dxa"/>
            <w:shd w:val="clear" w:color="auto" w:fill="auto"/>
          </w:tcPr>
          <w:p w:rsidRPr="008000B8" w:rsidR="00C66AF0" w:rsidP="003C4560"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 xml:space="preserve">Equality Impact Assessment : </w:t>
            </w:r>
          </w:p>
        </w:tc>
        <w:tc>
          <w:tcPr>
            <w:tcW w:w="5227" w:type="dxa"/>
            <w:shd w:val="clear" w:color="auto" w:fill="auto"/>
          </w:tcPr>
          <w:p w:rsidRPr="008000B8" w:rsidR="00C66AF0" w:rsidP="003C4560" w:rsidRDefault="00B4530C">
            <w:pPr>
              <w:pStyle w:val="Header"/>
              <w:tabs>
                <w:tab w:val="clear" w:pos="4153"/>
                <w:tab w:val="clear" w:pos="8306"/>
              </w:tabs>
              <w:rPr>
                <w:rFonts w:ascii="Arial" w:hAnsi="Arial" w:cs="Arial"/>
                <w:sz w:val="22"/>
                <w:szCs w:val="22"/>
              </w:rPr>
            </w:pPr>
            <w:r>
              <w:rPr>
                <w:rFonts w:ascii="Arial" w:hAnsi="Arial" w:cs="Arial"/>
                <w:sz w:val="22"/>
                <w:szCs w:val="22"/>
              </w:rPr>
              <w:t>The F</w:t>
            </w:r>
            <w:r w:rsidR="0032106D">
              <w:rPr>
                <w:rFonts w:ascii="Arial" w:hAnsi="Arial" w:cs="Arial"/>
                <w:sz w:val="22"/>
                <w:szCs w:val="22"/>
              </w:rPr>
              <w:t>ramework has been subject to a full Equality Impact Assessment.</w:t>
            </w:r>
          </w:p>
          <w:p w:rsidRPr="008000B8" w:rsidR="00C66AF0" w:rsidP="003C4560" w:rsidRDefault="00C66AF0">
            <w:pPr>
              <w:pStyle w:val="Header"/>
              <w:tabs>
                <w:tab w:val="clear" w:pos="4153"/>
                <w:tab w:val="clear" w:pos="8306"/>
              </w:tabs>
              <w:rPr>
                <w:rFonts w:ascii="Arial" w:hAnsi="Arial" w:cs="Arial"/>
                <w:sz w:val="22"/>
                <w:szCs w:val="22"/>
              </w:rPr>
            </w:pPr>
          </w:p>
        </w:tc>
      </w:tr>
      <w:tr w:rsidRPr="008000B8" w:rsidR="00C66AF0" w:rsidTr="003C4560">
        <w:tc>
          <w:tcPr>
            <w:tcW w:w="3301" w:type="dxa"/>
            <w:shd w:val="clear" w:color="auto" w:fill="auto"/>
          </w:tcPr>
          <w:p w:rsidRPr="008000B8" w:rsidR="00C66AF0" w:rsidP="003C4560"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Risks and Impact :</w:t>
            </w:r>
          </w:p>
        </w:tc>
        <w:tc>
          <w:tcPr>
            <w:tcW w:w="5227" w:type="dxa"/>
            <w:shd w:val="clear" w:color="auto" w:fill="auto"/>
          </w:tcPr>
          <w:p w:rsidRPr="008000B8" w:rsidR="00C66AF0" w:rsidP="003C4560" w:rsidRDefault="0032106D">
            <w:pPr>
              <w:pStyle w:val="Header"/>
              <w:tabs>
                <w:tab w:val="clear" w:pos="4153"/>
                <w:tab w:val="clear" w:pos="8306"/>
              </w:tabs>
              <w:rPr>
                <w:rFonts w:ascii="Arial" w:hAnsi="Arial" w:cs="Arial"/>
                <w:sz w:val="22"/>
                <w:szCs w:val="22"/>
              </w:rPr>
            </w:pPr>
            <w:r>
              <w:rPr>
                <w:rFonts w:ascii="Arial" w:hAnsi="Arial" w:cs="Arial"/>
                <w:sz w:val="22"/>
                <w:szCs w:val="22"/>
              </w:rPr>
              <w:t xml:space="preserve">There are no significant </w:t>
            </w:r>
            <w:r w:rsidR="00563709">
              <w:rPr>
                <w:rFonts w:ascii="Arial" w:hAnsi="Arial" w:cs="Arial"/>
                <w:sz w:val="22"/>
                <w:szCs w:val="22"/>
              </w:rPr>
              <w:t>implications associated with this report.</w:t>
            </w:r>
          </w:p>
          <w:p w:rsidRPr="008000B8" w:rsidR="00C66AF0" w:rsidP="003C4560" w:rsidRDefault="00C66AF0">
            <w:pPr>
              <w:pStyle w:val="Header"/>
              <w:tabs>
                <w:tab w:val="clear" w:pos="4153"/>
                <w:tab w:val="clear" w:pos="8306"/>
              </w:tabs>
              <w:rPr>
                <w:rFonts w:ascii="Arial" w:hAnsi="Arial" w:cs="Arial"/>
                <w:sz w:val="22"/>
                <w:szCs w:val="22"/>
              </w:rPr>
            </w:pPr>
          </w:p>
        </w:tc>
      </w:tr>
      <w:tr w:rsidRPr="008000B8" w:rsidR="00C66AF0" w:rsidTr="003C4560">
        <w:tc>
          <w:tcPr>
            <w:tcW w:w="3301" w:type="dxa"/>
            <w:shd w:val="clear" w:color="auto" w:fill="auto"/>
          </w:tcPr>
          <w:p w:rsidRPr="008000B8" w:rsidR="00C66AF0" w:rsidP="003C4560"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Link to Police and Crime Plan :</w:t>
            </w:r>
          </w:p>
        </w:tc>
        <w:tc>
          <w:tcPr>
            <w:tcW w:w="5227" w:type="dxa"/>
            <w:shd w:val="clear" w:color="auto" w:fill="auto"/>
          </w:tcPr>
          <w:p w:rsidR="00C66AF0" w:rsidP="003C4560" w:rsidRDefault="00563709">
            <w:pPr>
              <w:pStyle w:val="Header"/>
              <w:tabs>
                <w:tab w:val="clear" w:pos="4153"/>
                <w:tab w:val="clear" w:pos="8306"/>
              </w:tabs>
              <w:rPr>
                <w:rFonts w:ascii="Arial" w:hAnsi="Arial" w:cs="Arial"/>
                <w:sz w:val="22"/>
                <w:szCs w:val="22"/>
              </w:rPr>
            </w:pPr>
            <w:r>
              <w:rPr>
                <w:rFonts w:ascii="Arial" w:hAnsi="Arial" w:cs="Arial"/>
                <w:sz w:val="22"/>
                <w:szCs w:val="22"/>
              </w:rPr>
              <w:t>The Commissioning Framework is a fundamental part of the delivery of the Police and Crime Plan.</w:t>
            </w:r>
          </w:p>
          <w:p w:rsidRPr="008000B8" w:rsidR="003C4560" w:rsidP="003C4560" w:rsidRDefault="003C4560">
            <w:pPr>
              <w:pStyle w:val="Header"/>
              <w:tabs>
                <w:tab w:val="clear" w:pos="4153"/>
                <w:tab w:val="clear" w:pos="8306"/>
              </w:tabs>
              <w:rPr>
                <w:rFonts w:ascii="Arial" w:hAnsi="Arial" w:cs="Arial"/>
                <w:sz w:val="22"/>
                <w:szCs w:val="22"/>
              </w:rPr>
            </w:pPr>
          </w:p>
        </w:tc>
      </w:tr>
      <w:tr w:rsidRPr="008000B8" w:rsidR="003C4560" w:rsidTr="003C4560">
        <w:tc>
          <w:tcPr>
            <w:tcW w:w="3301" w:type="dxa"/>
            <w:shd w:val="clear" w:color="auto" w:fill="auto"/>
          </w:tcPr>
          <w:p w:rsidRPr="008000B8" w:rsidR="003C4560" w:rsidP="003C4560" w:rsidRDefault="003C4560">
            <w:pPr>
              <w:pStyle w:val="Header"/>
              <w:tabs>
                <w:tab w:val="clear" w:pos="4153"/>
                <w:tab w:val="clear" w:pos="8306"/>
              </w:tabs>
              <w:rPr>
                <w:rFonts w:ascii="Arial" w:hAnsi="Arial" w:cs="Arial"/>
                <w:sz w:val="22"/>
                <w:szCs w:val="22"/>
              </w:rPr>
            </w:pPr>
            <w:r>
              <w:rPr>
                <w:rFonts w:ascii="Arial" w:hAnsi="Arial" w:cs="Arial"/>
                <w:sz w:val="22"/>
                <w:szCs w:val="22"/>
              </w:rPr>
              <w:t>Communications:</w:t>
            </w:r>
          </w:p>
        </w:tc>
        <w:tc>
          <w:tcPr>
            <w:tcW w:w="5227" w:type="dxa"/>
            <w:shd w:val="clear" w:color="auto" w:fill="auto"/>
          </w:tcPr>
          <w:p w:rsidR="003C4560" w:rsidP="0003558B" w:rsidRDefault="0003558B">
            <w:pPr>
              <w:pStyle w:val="Header"/>
              <w:tabs>
                <w:tab w:val="clear" w:pos="4153"/>
                <w:tab w:val="clear" w:pos="8306"/>
              </w:tabs>
              <w:rPr>
                <w:rFonts w:ascii="Arial" w:hAnsi="Arial" w:cs="Arial"/>
                <w:sz w:val="22"/>
                <w:szCs w:val="22"/>
              </w:rPr>
            </w:pPr>
            <w:r>
              <w:rPr>
                <w:rFonts w:ascii="Arial" w:hAnsi="Arial" w:cs="Arial"/>
                <w:sz w:val="22"/>
                <w:szCs w:val="22"/>
              </w:rPr>
              <w:t>A Communications Strategy is in place for Victim First. The OPCC has provided a budget for the launch and promotion of the new sexual and domestic violence helpline.</w:t>
            </w:r>
          </w:p>
        </w:tc>
      </w:tr>
    </w:tbl>
    <w:p w:rsidRPr="00B47FD5" w:rsidR="00C66AF0" w:rsidP="003C4560" w:rsidRDefault="00C66AF0">
      <w:pPr>
        <w:pStyle w:val="Header"/>
        <w:tabs>
          <w:tab w:val="clear" w:pos="4153"/>
          <w:tab w:val="clear" w:pos="8306"/>
        </w:tabs>
        <w:rPr>
          <w:rFonts w:ascii="Arial" w:hAnsi="Arial" w:cs="Arial"/>
          <w:b/>
          <w:sz w:val="22"/>
          <w:szCs w:val="22"/>
          <w:u w:val="single"/>
        </w:rPr>
      </w:pPr>
    </w:p>
    <w:p w:rsidRPr="00B4530C" w:rsidR="00FD7250" w:rsidP="003C4560" w:rsidRDefault="005653E4">
      <w:pPr>
        <w:pStyle w:val="Header"/>
        <w:tabs>
          <w:tab w:val="clear" w:pos="4153"/>
          <w:tab w:val="clear" w:pos="8306"/>
        </w:tabs>
        <w:rPr>
          <w:rFonts w:ascii="Arial" w:hAnsi="Arial" w:cs="Arial"/>
          <w:b/>
          <w:sz w:val="22"/>
          <w:szCs w:val="22"/>
          <w:u w:val="single"/>
        </w:rPr>
      </w:pPr>
      <w:r w:rsidRPr="00B4530C">
        <w:rPr>
          <w:rFonts w:ascii="Arial" w:hAnsi="Arial" w:cs="Arial"/>
          <w:b/>
          <w:sz w:val="22"/>
          <w:szCs w:val="22"/>
          <w:u w:val="single"/>
        </w:rPr>
        <w:t>Background Papers</w:t>
      </w:r>
    </w:p>
    <w:p w:rsidRPr="00B4530C" w:rsidR="005653E4" w:rsidP="00FD7250" w:rsidRDefault="00B4530C">
      <w:pPr>
        <w:pStyle w:val="Header"/>
        <w:tabs>
          <w:tab w:val="clear" w:pos="4153"/>
          <w:tab w:val="clear" w:pos="8306"/>
        </w:tabs>
        <w:rPr>
          <w:rFonts w:ascii="Arial" w:hAnsi="Arial" w:cs="Arial"/>
          <w:sz w:val="22"/>
          <w:szCs w:val="22"/>
        </w:rPr>
      </w:pPr>
      <w:r w:rsidRPr="00B4530C">
        <w:rPr>
          <w:rFonts w:ascii="Arial" w:hAnsi="Arial" w:cs="Arial"/>
          <w:sz w:val="22"/>
          <w:szCs w:val="22"/>
        </w:rPr>
        <w:t>Draft Internal Commissioning Audit Report April 2015</w:t>
      </w:r>
    </w:p>
    <w:p w:rsidRPr="00B47FD5" w:rsidR="00FD7250" w:rsidP="00FD7250" w:rsidRDefault="00FD7250">
      <w:pPr>
        <w:pStyle w:val="Header"/>
        <w:tabs>
          <w:tab w:val="clear" w:pos="4153"/>
          <w:tab w:val="clear" w:pos="8306"/>
        </w:tabs>
        <w:rPr>
          <w:rFonts w:ascii="Arial" w:hAnsi="Arial" w:cs="Arial"/>
          <w:sz w:val="22"/>
          <w:szCs w:val="22"/>
        </w:rPr>
      </w:pPr>
    </w:p>
    <w:p w:rsidRPr="00B47FD5" w:rsidR="00FD7250" w:rsidP="00FD7250" w:rsidRDefault="00FD7250">
      <w:pPr>
        <w:pStyle w:val="Header"/>
        <w:tabs>
          <w:tab w:val="clear" w:pos="4153"/>
          <w:tab w:val="clear" w:pos="8306"/>
        </w:tabs>
        <w:rPr>
          <w:rFonts w:ascii="Arial" w:hAnsi="Arial" w:cs="Arial"/>
          <w:sz w:val="22"/>
          <w:szCs w:val="22"/>
        </w:rPr>
      </w:pPr>
      <w:r>
        <w:rPr>
          <w:rFonts w:ascii="Arial" w:hAnsi="Arial" w:cs="Arial"/>
          <w:b/>
          <w:sz w:val="22"/>
          <w:szCs w:val="22"/>
          <w:u w:val="single"/>
        </w:rPr>
        <w:t>Person</w:t>
      </w:r>
      <w:r w:rsidRPr="00B47FD5">
        <w:rPr>
          <w:rFonts w:ascii="Arial" w:hAnsi="Arial" w:cs="Arial"/>
          <w:b/>
          <w:sz w:val="22"/>
          <w:szCs w:val="22"/>
          <w:u w:val="single"/>
        </w:rPr>
        <w:t xml:space="preserve"> to Contact</w:t>
      </w:r>
    </w:p>
    <w:p w:rsidR="003C4560" w:rsidP="00FD7250" w:rsidRDefault="009A259D">
      <w:pPr>
        <w:pStyle w:val="Header"/>
        <w:tabs>
          <w:tab w:val="clear" w:pos="4153"/>
          <w:tab w:val="clear" w:pos="8306"/>
        </w:tabs>
        <w:rPr>
          <w:rFonts w:ascii="Arial" w:hAnsi="Arial" w:cs="Arial"/>
          <w:sz w:val="22"/>
          <w:szCs w:val="22"/>
        </w:rPr>
      </w:pPr>
      <w:r>
        <w:rPr>
          <w:rFonts w:ascii="Arial" w:hAnsi="Arial" w:cs="Arial"/>
          <w:sz w:val="22"/>
          <w:szCs w:val="22"/>
        </w:rPr>
        <w:t>Sue Haslett</w:t>
      </w:r>
      <w:r w:rsidR="003C4560">
        <w:rPr>
          <w:rFonts w:ascii="Arial" w:hAnsi="Arial" w:cs="Arial"/>
          <w:sz w:val="22"/>
          <w:szCs w:val="22"/>
        </w:rPr>
        <w:t xml:space="preserve">, Head of Partnerships and Commissioning. </w:t>
      </w:r>
    </w:p>
    <w:p w:rsidR="00FD7250" w:rsidP="00FD7250" w:rsidRDefault="00FD7250">
      <w:pPr>
        <w:pStyle w:val="Header"/>
        <w:tabs>
          <w:tab w:val="clear" w:pos="4153"/>
          <w:tab w:val="clear" w:pos="8306"/>
        </w:tabs>
        <w:rPr>
          <w:rFonts w:ascii="Arial" w:hAnsi="Arial" w:cs="Arial"/>
          <w:sz w:val="22"/>
          <w:szCs w:val="22"/>
        </w:rPr>
      </w:pPr>
      <w:r w:rsidRPr="00B47FD5">
        <w:rPr>
          <w:rFonts w:ascii="Arial" w:hAnsi="Arial" w:cs="Arial"/>
          <w:sz w:val="22"/>
          <w:szCs w:val="22"/>
        </w:rPr>
        <w:t>Tel</w:t>
      </w:r>
      <w:r w:rsidR="003C4560">
        <w:rPr>
          <w:rFonts w:ascii="Arial" w:hAnsi="Arial" w:cs="Arial"/>
          <w:sz w:val="22"/>
          <w:szCs w:val="22"/>
        </w:rPr>
        <w:t>:</w:t>
      </w:r>
      <w:r w:rsidRPr="00B47FD5">
        <w:rPr>
          <w:rFonts w:ascii="Arial" w:hAnsi="Arial" w:cs="Arial"/>
          <w:sz w:val="22"/>
          <w:szCs w:val="22"/>
        </w:rPr>
        <w:t xml:space="preserve"> 0116 </w:t>
      </w:r>
      <w:r w:rsidR="005653E4">
        <w:rPr>
          <w:rFonts w:ascii="Arial" w:hAnsi="Arial" w:cs="Arial"/>
          <w:sz w:val="22"/>
          <w:szCs w:val="22"/>
        </w:rPr>
        <w:t>229 870</w:t>
      </w:r>
      <w:r w:rsidR="009A259D">
        <w:rPr>
          <w:rFonts w:ascii="Arial" w:hAnsi="Arial" w:cs="Arial"/>
          <w:sz w:val="22"/>
          <w:szCs w:val="22"/>
        </w:rPr>
        <w:t>5</w:t>
      </w:r>
      <w:r w:rsidR="003C4560">
        <w:rPr>
          <w:rFonts w:ascii="Arial" w:hAnsi="Arial" w:cs="Arial"/>
          <w:sz w:val="22"/>
          <w:szCs w:val="22"/>
        </w:rPr>
        <w:t xml:space="preserve">, Email: </w:t>
      </w:r>
      <w:hyperlink w:history="1" r:id="rId14">
        <w:r w:rsidRPr="00F74B46" w:rsidR="003C4560">
          <w:rPr>
            <w:rStyle w:val="Hyperlink"/>
            <w:rFonts w:ascii="Arial" w:hAnsi="Arial" w:cs="Arial"/>
            <w:sz w:val="22"/>
            <w:szCs w:val="22"/>
          </w:rPr>
          <w:t>sue.haslett@leics.pcc.pnn.gov.uk</w:t>
        </w:r>
      </w:hyperlink>
    </w:p>
    <w:p w:rsidRPr="00B47FD5" w:rsidR="003C4560" w:rsidP="00FD7250" w:rsidRDefault="003C4560">
      <w:pPr>
        <w:pStyle w:val="Header"/>
        <w:tabs>
          <w:tab w:val="clear" w:pos="4153"/>
          <w:tab w:val="clear" w:pos="8306"/>
        </w:tabs>
        <w:rPr>
          <w:rFonts w:ascii="Arial" w:hAnsi="Arial" w:cs="Arial"/>
          <w:sz w:val="22"/>
          <w:szCs w:val="22"/>
        </w:rPr>
      </w:pPr>
    </w:p>
    <w:p w:rsidR="00C66AF0" w:rsidP="00FD7250" w:rsidRDefault="00C66AF0">
      <w:pPr>
        <w:pStyle w:val="Header"/>
        <w:tabs>
          <w:tab w:val="clear" w:pos="4153"/>
          <w:tab w:val="clear" w:pos="8306"/>
        </w:tabs>
        <w:rPr>
          <w:rFonts w:ascii="Arial" w:hAnsi="Arial" w:cs="Arial"/>
          <w:sz w:val="22"/>
          <w:szCs w:val="22"/>
        </w:rPr>
      </w:pPr>
    </w:p>
    <w:sectPr w:rsidR="00C66AF0" w:rsidSect="002C24B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DB" w:rsidRDefault="00117BDB" w:rsidP="005B06FB">
      <w:r>
        <w:separator/>
      </w:r>
    </w:p>
  </w:endnote>
  <w:endnote w:type="continuationSeparator" w:id="0">
    <w:p w:rsidR="00117BDB" w:rsidRDefault="00117BDB"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A" w:rsidRDefault="00122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848760"/>
      <w:docPartObj>
        <w:docPartGallery w:val="Page Numbers (Bottom of Page)"/>
        <w:docPartUnique/>
      </w:docPartObj>
    </w:sdtPr>
    <w:sdtEndPr>
      <w:rPr>
        <w:noProof/>
      </w:rPr>
    </w:sdtEndPr>
    <w:sdtContent>
      <w:p w:rsidR="0012238A" w:rsidRDefault="00B74624">
        <w:pPr>
          <w:pStyle w:val="Footer"/>
          <w:jc w:val="center"/>
        </w:pPr>
        <w:r>
          <w:t>L</w:t>
        </w:r>
        <w:bookmarkStart w:id="0" w:name="_GoBack"/>
        <w:bookmarkEnd w:id="0"/>
        <w:r w:rsidR="0012238A">
          <w:fldChar w:fldCharType="begin"/>
        </w:r>
        <w:r w:rsidR="0012238A">
          <w:instrText xml:space="preserve"> PAGE   \* MERGEFORMAT </w:instrText>
        </w:r>
        <w:r w:rsidR="0012238A">
          <w:fldChar w:fldCharType="separate"/>
        </w:r>
        <w:r>
          <w:rPr>
            <w:noProof/>
          </w:rPr>
          <w:t>1</w:t>
        </w:r>
        <w:r w:rsidR="0012238A">
          <w:rPr>
            <w:noProof/>
          </w:rPr>
          <w:fldChar w:fldCharType="end"/>
        </w:r>
      </w:p>
    </w:sdtContent>
  </w:sdt>
  <w:p w:rsidR="0012238A" w:rsidRDefault="001223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A" w:rsidRDefault="00122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DB" w:rsidRDefault="00117BDB" w:rsidP="005B06FB">
      <w:r>
        <w:separator/>
      </w:r>
    </w:p>
  </w:footnote>
  <w:footnote w:type="continuationSeparator" w:id="0">
    <w:p w:rsidR="00117BDB" w:rsidRDefault="00117BDB" w:rsidP="005B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A" w:rsidRDefault="00122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A" w:rsidRDefault="00122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A" w:rsidRDefault="00122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FB9"/>
    <w:multiLevelType w:val="hybridMultilevel"/>
    <w:tmpl w:val="530414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71FC5"/>
    <w:multiLevelType w:val="hybridMultilevel"/>
    <w:tmpl w:val="E654D6C2"/>
    <w:lvl w:ilvl="0" w:tplc="08090001">
      <w:start w:val="1"/>
      <w:numFmt w:val="bullet"/>
      <w:lvlText w:val=""/>
      <w:lvlJc w:val="left"/>
      <w:pPr>
        <w:ind w:left="3033" w:hanging="360"/>
      </w:pPr>
      <w:rPr>
        <w:rFonts w:ascii="Symbol" w:hAnsi="Symbol" w:hint="default"/>
        <w:b/>
      </w:rPr>
    </w:lvl>
    <w:lvl w:ilvl="1" w:tplc="08090003" w:tentative="1">
      <w:start w:val="1"/>
      <w:numFmt w:val="bullet"/>
      <w:lvlText w:val="o"/>
      <w:lvlJc w:val="left"/>
      <w:pPr>
        <w:ind w:left="3753" w:hanging="360"/>
      </w:pPr>
      <w:rPr>
        <w:rFonts w:ascii="Courier New" w:hAnsi="Courier New" w:cs="Courier New" w:hint="default"/>
      </w:rPr>
    </w:lvl>
    <w:lvl w:ilvl="2" w:tplc="08090005" w:tentative="1">
      <w:start w:val="1"/>
      <w:numFmt w:val="bullet"/>
      <w:lvlText w:val=""/>
      <w:lvlJc w:val="left"/>
      <w:pPr>
        <w:ind w:left="4473" w:hanging="360"/>
      </w:pPr>
      <w:rPr>
        <w:rFonts w:ascii="Wingdings" w:hAnsi="Wingdings" w:hint="default"/>
      </w:rPr>
    </w:lvl>
    <w:lvl w:ilvl="3" w:tplc="08090001" w:tentative="1">
      <w:start w:val="1"/>
      <w:numFmt w:val="bullet"/>
      <w:lvlText w:val=""/>
      <w:lvlJc w:val="left"/>
      <w:pPr>
        <w:ind w:left="5193" w:hanging="360"/>
      </w:pPr>
      <w:rPr>
        <w:rFonts w:ascii="Symbol" w:hAnsi="Symbol" w:hint="default"/>
      </w:rPr>
    </w:lvl>
    <w:lvl w:ilvl="4" w:tplc="08090003" w:tentative="1">
      <w:start w:val="1"/>
      <w:numFmt w:val="bullet"/>
      <w:lvlText w:val="o"/>
      <w:lvlJc w:val="left"/>
      <w:pPr>
        <w:ind w:left="5913" w:hanging="360"/>
      </w:pPr>
      <w:rPr>
        <w:rFonts w:ascii="Courier New" w:hAnsi="Courier New" w:cs="Courier New" w:hint="default"/>
      </w:rPr>
    </w:lvl>
    <w:lvl w:ilvl="5" w:tplc="08090005" w:tentative="1">
      <w:start w:val="1"/>
      <w:numFmt w:val="bullet"/>
      <w:lvlText w:val=""/>
      <w:lvlJc w:val="left"/>
      <w:pPr>
        <w:ind w:left="6633" w:hanging="360"/>
      </w:pPr>
      <w:rPr>
        <w:rFonts w:ascii="Wingdings" w:hAnsi="Wingdings" w:hint="default"/>
      </w:rPr>
    </w:lvl>
    <w:lvl w:ilvl="6" w:tplc="08090001" w:tentative="1">
      <w:start w:val="1"/>
      <w:numFmt w:val="bullet"/>
      <w:lvlText w:val=""/>
      <w:lvlJc w:val="left"/>
      <w:pPr>
        <w:ind w:left="7353" w:hanging="360"/>
      </w:pPr>
      <w:rPr>
        <w:rFonts w:ascii="Symbol" w:hAnsi="Symbol" w:hint="default"/>
      </w:rPr>
    </w:lvl>
    <w:lvl w:ilvl="7" w:tplc="08090003" w:tentative="1">
      <w:start w:val="1"/>
      <w:numFmt w:val="bullet"/>
      <w:lvlText w:val="o"/>
      <w:lvlJc w:val="left"/>
      <w:pPr>
        <w:ind w:left="8073" w:hanging="360"/>
      </w:pPr>
      <w:rPr>
        <w:rFonts w:ascii="Courier New" w:hAnsi="Courier New" w:cs="Courier New" w:hint="default"/>
      </w:rPr>
    </w:lvl>
    <w:lvl w:ilvl="8" w:tplc="08090005" w:tentative="1">
      <w:start w:val="1"/>
      <w:numFmt w:val="bullet"/>
      <w:lvlText w:val=""/>
      <w:lvlJc w:val="left"/>
      <w:pPr>
        <w:ind w:left="8793" w:hanging="360"/>
      </w:pPr>
      <w:rPr>
        <w:rFonts w:ascii="Wingdings" w:hAnsi="Wingdings" w:hint="default"/>
      </w:rPr>
    </w:lvl>
  </w:abstractNum>
  <w:abstractNum w:abstractNumId="2">
    <w:nsid w:val="0DBF0AA3"/>
    <w:multiLevelType w:val="multilevel"/>
    <w:tmpl w:val="AC025C30"/>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24423740"/>
    <w:multiLevelType w:val="hybridMultilevel"/>
    <w:tmpl w:val="9A38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973BBE"/>
    <w:multiLevelType w:val="hybridMultilevel"/>
    <w:tmpl w:val="6A90B71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D32EEE"/>
    <w:multiLevelType w:val="hybridMultilevel"/>
    <w:tmpl w:val="713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4F1673"/>
    <w:multiLevelType w:val="hybridMultilevel"/>
    <w:tmpl w:val="69E28A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84762D"/>
    <w:multiLevelType w:val="hybridMultilevel"/>
    <w:tmpl w:val="E0268B5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5">
    <w:nsid w:val="758306DE"/>
    <w:multiLevelType w:val="hybridMultilevel"/>
    <w:tmpl w:val="4FAA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4"/>
  </w:num>
  <w:num w:numId="5">
    <w:abstractNumId w:val="9"/>
  </w:num>
  <w:num w:numId="6">
    <w:abstractNumId w:val="13"/>
  </w:num>
  <w:num w:numId="7">
    <w:abstractNumId w:val="3"/>
  </w:num>
  <w:num w:numId="8">
    <w:abstractNumId w:val="7"/>
  </w:num>
  <w:num w:numId="9">
    <w:abstractNumId w:val="12"/>
  </w:num>
  <w:num w:numId="10">
    <w:abstractNumId w:val="0"/>
  </w:num>
  <w:num w:numId="11">
    <w:abstractNumId w:val="1"/>
  </w:num>
  <w:num w:numId="12">
    <w:abstractNumId w:val="5"/>
  </w:num>
  <w:num w:numId="13">
    <w:abstractNumId w:val="11"/>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3558B"/>
    <w:rsid w:val="00066E59"/>
    <w:rsid w:val="00103D0B"/>
    <w:rsid w:val="00114994"/>
    <w:rsid w:val="00117BDB"/>
    <w:rsid w:val="0012238A"/>
    <w:rsid w:val="001261A7"/>
    <w:rsid w:val="0013369F"/>
    <w:rsid w:val="00172084"/>
    <w:rsid w:val="001E48F6"/>
    <w:rsid w:val="0020665F"/>
    <w:rsid w:val="00216624"/>
    <w:rsid w:val="0026596D"/>
    <w:rsid w:val="002C24B5"/>
    <w:rsid w:val="002C5AC5"/>
    <w:rsid w:val="002D1CB7"/>
    <w:rsid w:val="0032106D"/>
    <w:rsid w:val="003462AB"/>
    <w:rsid w:val="0036278C"/>
    <w:rsid w:val="00382B7E"/>
    <w:rsid w:val="003C4560"/>
    <w:rsid w:val="003D101D"/>
    <w:rsid w:val="003F7079"/>
    <w:rsid w:val="00411F15"/>
    <w:rsid w:val="004571A2"/>
    <w:rsid w:val="004A0400"/>
    <w:rsid w:val="004F1B04"/>
    <w:rsid w:val="005106E9"/>
    <w:rsid w:val="00563709"/>
    <w:rsid w:val="005653E4"/>
    <w:rsid w:val="005B06FB"/>
    <w:rsid w:val="007243B4"/>
    <w:rsid w:val="00727594"/>
    <w:rsid w:val="007C150B"/>
    <w:rsid w:val="008000B8"/>
    <w:rsid w:val="00804668"/>
    <w:rsid w:val="00833738"/>
    <w:rsid w:val="0084620D"/>
    <w:rsid w:val="008D4B27"/>
    <w:rsid w:val="009201E4"/>
    <w:rsid w:val="00921C2E"/>
    <w:rsid w:val="00997C66"/>
    <w:rsid w:val="009A259D"/>
    <w:rsid w:val="009D4E0C"/>
    <w:rsid w:val="00A910FA"/>
    <w:rsid w:val="00A97237"/>
    <w:rsid w:val="00AC398B"/>
    <w:rsid w:val="00AD216C"/>
    <w:rsid w:val="00B4530C"/>
    <w:rsid w:val="00B74624"/>
    <w:rsid w:val="00C20F40"/>
    <w:rsid w:val="00C66AF0"/>
    <w:rsid w:val="00CF2D26"/>
    <w:rsid w:val="00D1086D"/>
    <w:rsid w:val="00DC0A7F"/>
    <w:rsid w:val="00DC4A72"/>
    <w:rsid w:val="00E656B4"/>
    <w:rsid w:val="00E723E1"/>
    <w:rsid w:val="00EC517B"/>
    <w:rsid w:val="00EC6CB9"/>
    <w:rsid w:val="00F4276E"/>
    <w:rsid w:val="00F54D83"/>
    <w:rsid w:val="00FA1F0F"/>
    <w:rsid w:val="00FC120A"/>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rsid w:val="00C66AF0"/>
    <w:pPr>
      <w:tabs>
        <w:tab w:val="left" w:pos="709"/>
      </w:tabs>
      <w:jc w:val="both"/>
    </w:pPr>
    <w:rPr>
      <w:lang w:eastAsia="en-GB"/>
    </w:rPr>
  </w:style>
  <w:style w:type="paragraph" w:styleId="ListParagraph">
    <w:name w:val="List Paragraph"/>
    <w:basedOn w:val="Normal"/>
    <w:uiPriority w:val="34"/>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0" w:type="dxa"/>
        <w:bottom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rsid w:val="00C66AF0"/>
    <w:pPr>
      <w:tabs>
        <w:tab w:val="left" w:pos="709"/>
      </w:tabs>
      <w:jc w:val="both"/>
    </w:pPr>
    <w:rPr>
      <w:lang w:eastAsia="en-GB"/>
    </w:rPr>
  </w:style>
  <w:style w:type="paragraph" w:styleId="ListParagraph">
    <w:name w:val="List Paragraph"/>
    <w:basedOn w:val="Normal"/>
    <w:uiPriority w:val="34"/>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0" w:type="dxa"/>
        <w:bottom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ue.haslett@leics.pcc.pn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1375</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 Commissioning Update June 2015</dc:title>
  <dc:creator>9773</dc:creator>
  <cp:lastModifiedBy>Proffitt</cp:lastModifiedBy>
  <cp:revision>7</cp:revision>
  <cp:lastPrinted>2015-05-18T07:46:00Z</cp:lastPrinted>
  <dcterms:created xsi:type="dcterms:W3CDTF">2015-05-18T07:46:00Z</dcterms:created>
  <dcterms:modified xsi:type="dcterms:W3CDTF">2015-06-12T12:05:42Z</dcterms:modified>
  <cp:keywords>
  </cp:keywords>
  <dc:subject>
  </dc:subject>
</cp:coreProperties>
</file>