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88"/>
      </w:tblGrid>
      <w:tr w:rsidRPr="00B47FD5" w:rsidR="00FD7250" w:rsidTr="00FC7EAC">
        <w:trPr>
          <w:cantSplit/>
          <w:trHeight w:val="54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EC517B" w:rsidR="00FD7250" w:rsidP="005B06FB" w:rsidRDefault="00A55146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</w:pPr>
            <w:r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style="position:absolute;left:0;text-align:left;margin-left:383.4pt;margin-top:0;width:82.8pt;height:99pt;z-index:251657728" type="#_x0000_t202">
                  <v:textbox style="mso-next-textbox:#_x0000_s1049">
                    <w:txbxContent>
                      <w:p w:rsidRPr="00C66AF0" w:rsidR="008D4B27" w:rsidP="008D4B27" w:rsidRDefault="008D4B2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66AF0">
                          <w:rPr>
                            <w:b/>
                            <w:sz w:val="16"/>
                            <w:szCs w:val="16"/>
                          </w:rPr>
                          <w:t>PAPER MARKED</w:t>
                        </w:r>
                      </w:p>
                      <w:p w:rsidRPr="007F7EE9" w:rsidR="008D4B27" w:rsidP="008D4B27" w:rsidRDefault="00A55146">
                        <w:pPr>
                          <w:pStyle w:val="BodyText"/>
                          <w:jc w:val="center"/>
                          <w:rPr>
                            <w:rFonts w:ascii="Arial" w:hAnsi="Arial" w:cs="Arial"/>
                            <w:sz w:val="144"/>
                          </w:rPr>
                        </w:pPr>
                        <w:r>
                          <w:rPr>
                            <w:rFonts w:ascii="Arial" w:hAnsi="Arial" w:cs="Arial"/>
                            <w:sz w:val="144"/>
                          </w:rPr>
                          <w:t>F</w:t>
                        </w:r>
                        <w:bookmarkStart w:name="_GoBack" w:id="0"/>
                        <w:bookmarkEnd w:id="0"/>
                      </w:p>
                      <w:p w:rsidR="008D4B27" w:rsidP="008D4B27" w:rsidRDefault="008D4B27"/>
                    </w:txbxContent>
                  </v:textbox>
                </v:shape>
              </w:pict>
            </w:r>
            <w:r w:rsidRPr="00EC517B" w:rsidR="008D4B27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>POLICE &amp; CRIME COMMISSIONER</w:t>
            </w:r>
            <w:r w:rsidRPr="00EC517B" w:rsidR="00EC517B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 xml:space="preserve"> FOR LEICESTERSHIRE</w:t>
            </w:r>
          </w:p>
        </w:tc>
      </w:tr>
      <w:tr w:rsidRPr="00B47FD5" w:rsidR="008D4B27" w:rsidTr="00FC7EAC">
        <w:trPr>
          <w:cantSplit/>
          <w:trHeight w:val="54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EC517B" w:rsidR="008D4B27" w:rsidP="008D4B27" w:rsidRDefault="008D4B27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</w:pPr>
            <w:r w:rsidRPr="00EC517B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 xml:space="preserve">JOINT AUDIT, RISK &amp; </w:t>
            </w:r>
          </w:p>
          <w:p w:rsidRPr="00FC7EAC" w:rsidR="008D4B27" w:rsidP="008D4B27" w:rsidRDefault="008D4B27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4"/>
                <w:szCs w:val="44"/>
                <w:u w:val="none"/>
                <w:lang w:eastAsia="en-GB"/>
              </w:rPr>
            </w:pPr>
            <w:r w:rsidRPr="00EC517B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>ASSURANCE PANEL</w:t>
            </w:r>
          </w:p>
        </w:tc>
      </w:tr>
    </w:tbl>
    <w:p w:rsidRPr="00B47FD5" w:rsidR="00FD7250" w:rsidP="00FD7250" w:rsidRDefault="00FD7250">
      <w:pPr>
        <w:rPr>
          <w:rFonts w:ascii="Arial" w:hAnsi="Arial" w:cs="Arial"/>
          <w:sz w:val="22"/>
          <w:szCs w:val="22"/>
        </w:rPr>
      </w:pPr>
    </w:p>
    <w:tbl>
      <w:tblPr>
        <w:tblW w:w="9514" w:type="dxa"/>
        <w:tblLayout w:type="fixed"/>
        <w:tblLook w:val="0000" w:firstRow="0" w:lastRow="0" w:firstColumn="0" w:lastColumn="0" w:noHBand="0" w:noVBand="0"/>
      </w:tblPr>
      <w:tblGrid>
        <w:gridCol w:w="1809"/>
        <w:gridCol w:w="7705"/>
      </w:tblGrid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 w:rsidRPr="00B47FD5">
              <w:rPr>
                <w:rFonts w:ascii="Arial" w:hAnsi="Arial" w:cs="Arial"/>
                <w:sz w:val="22"/>
                <w:szCs w:val="22"/>
              </w:rPr>
              <w:t>Report of</w:t>
            </w:r>
          </w:p>
        </w:tc>
        <w:tc>
          <w:tcPr>
            <w:tcW w:w="7705" w:type="dxa"/>
          </w:tcPr>
          <w:p w:rsidRPr="00B47FD5" w:rsidR="00FD7250" w:rsidP="005B06FB" w:rsidRDefault="00FC7EAC">
            <w:pPr>
              <w:pStyle w:val="Heading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OFFICE OF</w:t>
            </w:r>
            <w:r w:rsidR="00C20F40">
              <w:rPr>
                <w:rFonts w:ascii="Arial" w:hAnsi="Arial" w:cs="Arial"/>
                <w:szCs w:val="22"/>
              </w:rPr>
              <w:t xml:space="preserve"> POLICE AND CRIME COMMISSIONER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Pr="00B47FD5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7705" w:type="dxa"/>
          </w:tcPr>
          <w:p w:rsidRPr="003B6D47" w:rsidR="00FD7250" w:rsidP="00FC120A" w:rsidRDefault="003B6D47">
            <w:pPr>
              <w:pStyle w:val="Heading6"/>
              <w:rPr>
                <w:rFonts w:ascii="Arial" w:hAnsi="Arial" w:cs="Arial"/>
                <w:szCs w:val="22"/>
              </w:rPr>
            </w:pPr>
            <w:r w:rsidRPr="003B6D47">
              <w:rPr>
                <w:rFonts w:ascii="Arial" w:hAnsi="Arial" w:cs="Arial"/>
                <w:szCs w:val="22"/>
              </w:rPr>
              <w:t xml:space="preserve">JARAP </w:t>
            </w:r>
            <w:r w:rsidR="00D55262">
              <w:rPr>
                <w:rFonts w:ascii="Arial" w:hAnsi="Arial" w:cs="Arial"/>
                <w:szCs w:val="22"/>
              </w:rPr>
              <w:t xml:space="preserve">REVISED </w:t>
            </w:r>
            <w:r w:rsidRPr="003B6D47">
              <w:rPr>
                <w:rFonts w:ascii="Arial" w:hAnsi="Arial" w:cs="Arial"/>
                <w:szCs w:val="22"/>
              </w:rPr>
              <w:t>TERMS OF REFERENCE</w:t>
            </w:r>
            <w:r w:rsidR="007A7C8B">
              <w:rPr>
                <w:rFonts w:ascii="Arial" w:hAnsi="Arial" w:cs="Arial"/>
                <w:szCs w:val="22"/>
              </w:rPr>
              <w:t xml:space="preserve"> </w:t>
            </w:r>
          </w:p>
          <w:p w:rsidRPr="00F80AC6" w:rsidR="00F80AC6" w:rsidP="00F80AC6" w:rsidRDefault="00F80AC6"/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 w:rsidRPr="00B47FD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705" w:type="dxa"/>
          </w:tcPr>
          <w:p w:rsidRPr="00B47FD5" w:rsidR="002B457F" w:rsidP="002B457F" w:rsidRDefault="002B457F">
            <w:pPr>
              <w:pStyle w:val="Heading4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MONDAY 7 DECEMBER 2015 – 13:00PM</w:t>
            </w:r>
          </w:p>
          <w:p w:rsidRPr="007A7C8B" w:rsidR="007A7C8B" w:rsidP="007A7C8B" w:rsidRDefault="007A7C8B"/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="00FD7250" w:rsidP="005B06FB" w:rsidRDefault="00F80A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Author </w:t>
            </w:r>
          </w:p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5" w:type="dxa"/>
          </w:tcPr>
          <w:p w:rsidRPr="00FC120A" w:rsidR="00FD7250" w:rsidP="00FC120A" w:rsidRDefault="00F80AC6">
            <w:pPr>
              <w:pStyle w:val="Heading6"/>
              <w:rPr>
                <w:rFonts w:ascii="Arial" w:hAnsi="Arial" w:cs="Arial"/>
                <w:szCs w:val="22"/>
              </w:rPr>
            </w:pPr>
            <w:r w:rsidRPr="00FC120A">
              <w:rPr>
                <w:rFonts w:ascii="Arial" w:hAnsi="Arial" w:cs="Arial"/>
                <w:szCs w:val="22"/>
              </w:rPr>
              <w:t>HELEN KING, CHIEF FINANCE OFFICER</w:t>
            </w:r>
            <w:r w:rsidR="003B6D47">
              <w:rPr>
                <w:rFonts w:ascii="Arial" w:hAnsi="Arial" w:cs="Arial"/>
                <w:szCs w:val="22"/>
              </w:rPr>
              <w:t xml:space="preserve"> OPCC</w:t>
            </w:r>
          </w:p>
        </w:tc>
      </w:tr>
    </w:tbl>
    <w:p w:rsidRPr="00B47FD5" w:rsidR="00FD7250" w:rsidP="00FD7250" w:rsidRDefault="00FD7250">
      <w:pPr>
        <w:ind w:left="720" w:firstLine="720"/>
        <w:rPr>
          <w:rFonts w:ascii="Arial" w:hAnsi="Arial" w:cs="Arial"/>
          <w:b/>
          <w:sz w:val="22"/>
          <w:szCs w:val="22"/>
        </w:rPr>
      </w:pPr>
    </w:p>
    <w:p w:rsidRPr="00B47FD5" w:rsidR="00FD7250" w:rsidP="00F53F2A" w:rsidRDefault="00FD7250">
      <w:pPr>
        <w:pStyle w:val="Heading3"/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 of Report</w:t>
      </w:r>
    </w:p>
    <w:p w:rsidRPr="00B47FD5" w:rsidR="00FD7250" w:rsidP="00F53F2A" w:rsidRDefault="00FD7250">
      <w:pPr>
        <w:ind w:right="-766"/>
        <w:rPr>
          <w:rFonts w:ascii="Arial" w:hAnsi="Arial" w:cs="Arial"/>
          <w:sz w:val="22"/>
          <w:szCs w:val="22"/>
        </w:rPr>
      </w:pPr>
    </w:p>
    <w:p w:rsidR="00FC120A" w:rsidP="00F53F2A" w:rsidRDefault="00D5526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adoption of the approach for the tenure of JARAP members agreed at the September meeting, t</w:t>
      </w:r>
      <w:r w:rsidRPr="00C20F40" w:rsidR="00FD7250">
        <w:rPr>
          <w:rFonts w:ascii="Arial" w:hAnsi="Arial" w:cs="Arial"/>
          <w:sz w:val="22"/>
          <w:szCs w:val="22"/>
        </w:rPr>
        <w:t xml:space="preserve">his report </w:t>
      </w:r>
      <w:r>
        <w:rPr>
          <w:rFonts w:ascii="Arial" w:hAnsi="Arial" w:cs="Arial"/>
          <w:sz w:val="22"/>
          <w:szCs w:val="22"/>
        </w:rPr>
        <w:t xml:space="preserve">updates the </w:t>
      </w:r>
      <w:r w:rsidR="00FC120A">
        <w:rPr>
          <w:rFonts w:ascii="Arial" w:hAnsi="Arial" w:cs="Arial"/>
          <w:sz w:val="22"/>
          <w:szCs w:val="22"/>
        </w:rPr>
        <w:t>Terms of Reference for th</w:t>
      </w:r>
      <w:r>
        <w:rPr>
          <w:rFonts w:ascii="Arial" w:hAnsi="Arial" w:cs="Arial"/>
          <w:sz w:val="22"/>
          <w:szCs w:val="22"/>
        </w:rPr>
        <w:t xml:space="preserve">ose changes. </w:t>
      </w:r>
    </w:p>
    <w:p w:rsidR="00F53F2A" w:rsidP="00F53F2A" w:rsidRDefault="00F53F2A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="00D55262" w:rsidP="00F53F2A" w:rsidRDefault="00D5526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review updates the Annual Terms of Reference review, previously undertaken in June 2015. </w:t>
      </w:r>
    </w:p>
    <w:p w:rsidR="00D55262" w:rsidP="00D55262" w:rsidRDefault="00D55262">
      <w:pPr>
        <w:pStyle w:val="ListParagraph"/>
        <w:rPr>
          <w:rFonts w:ascii="Arial" w:hAnsi="Arial" w:cs="Arial"/>
          <w:sz w:val="22"/>
          <w:szCs w:val="22"/>
        </w:rPr>
      </w:pPr>
    </w:p>
    <w:p w:rsidRPr="00F53F2A" w:rsidR="00F53F2A" w:rsidP="00F53F2A" w:rsidRDefault="00F53F2A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53F2A">
        <w:rPr>
          <w:rFonts w:ascii="Arial" w:hAnsi="Arial" w:cs="Arial"/>
          <w:b/>
          <w:sz w:val="22"/>
          <w:szCs w:val="22"/>
          <w:u w:val="single"/>
        </w:rPr>
        <w:t>Recommendation</w:t>
      </w:r>
    </w:p>
    <w:p w:rsidR="00F53F2A" w:rsidP="00F53F2A" w:rsidRDefault="00F53F2A">
      <w:pPr>
        <w:pStyle w:val="Header"/>
        <w:tabs>
          <w:tab w:val="clear" w:pos="4153"/>
          <w:tab w:val="clear" w:pos="8306"/>
        </w:tabs>
        <w:ind w:left="705" w:right="-766"/>
        <w:rPr>
          <w:rFonts w:ascii="Arial" w:hAnsi="Arial" w:cs="Arial"/>
          <w:sz w:val="22"/>
          <w:szCs w:val="22"/>
        </w:rPr>
      </w:pPr>
    </w:p>
    <w:p w:rsidRPr="00F53F2A" w:rsidR="00F53F2A" w:rsidP="00F53F2A" w:rsidRDefault="00F53F2A">
      <w:pPr>
        <w:pStyle w:val="Header"/>
        <w:tabs>
          <w:tab w:val="clear" w:pos="4153"/>
          <w:tab w:val="clear" w:pos="8306"/>
        </w:tabs>
        <w:ind w:left="705" w:right="-766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53F2A">
        <w:rPr>
          <w:rFonts w:ascii="Arial" w:hAnsi="Arial" w:cs="Arial"/>
          <w:sz w:val="22"/>
          <w:szCs w:val="22"/>
        </w:rPr>
        <w:t>.</w:t>
      </w:r>
      <w:r w:rsidRPr="00F53F2A">
        <w:rPr>
          <w:rFonts w:ascii="Arial" w:hAnsi="Arial" w:cs="Arial"/>
          <w:sz w:val="22"/>
          <w:szCs w:val="22"/>
        </w:rPr>
        <w:tab/>
        <w:t xml:space="preserve">The Panel are recommended to discuss the </w:t>
      </w:r>
      <w:r w:rsidR="00D55262">
        <w:rPr>
          <w:rFonts w:ascii="Arial" w:hAnsi="Arial" w:cs="Arial"/>
          <w:sz w:val="22"/>
          <w:szCs w:val="22"/>
        </w:rPr>
        <w:t>proposed changes to the revised Terms of Reference.</w:t>
      </w:r>
    </w:p>
    <w:p w:rsidR="00A015EB" w:rsidP="00F53F2A" w:rsidRDefault="00A015E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Pr="00A015EB" w:rsidR="00A015EB" w:rsidP="00F53F2A" w:rsidRDefault="00A015E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 w:rsidRPr="00A015EB">
        <w:rPr>
          <w:rFonts w:ascii="Arial" w:hAnsi="Arial" w:cs="Arial"/>
          <w:b/>
          <w:sz w:val="22"/>
          <w:szCs w:val="22"/>
          <w:u w:val="single"/>
        </w:rPr>
        <w:t>Terms of Reference – Elements for Consideration</w:t>
      </w:r>
    </w:p>
    <w:p w:rsidR="00A015EB" w:rsidP="00F53F2A" w:rsidRDefault="00A015E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="00D45316" w:rsidP="00D55262" w:rsidRDefault="00F53F2A">
      <w:pPr>
        <w:pStyle w:val="Header"/>
        <w:tabs>
          <w:tab w:val="clear" w:pos="4153"/>
          <w:tab w:val="clear" w:pos="8306"/>
        </w:tabs>
        <w:ind w:left="720" w:right="-766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015EB">
        <w:rPr>
          <w:rFonts w:ascii="Arial" w:hAnsi="Arial" w:cs="Arial"/>
          <w:sz w:val="22"/>
          <w:szCs w:val="22"/>
        </w:rPr>
        <w:t>.</w:t>
      </w:r>
      <w:r w:rsidR="00A015EB">
        <w:rPr>
          <w:rFonts w:ascii="Arial" w:hAnsi="Arial" w:cs="Arial"/>
          <w:sz w:val="22"/>
          <w:szCs w:val="22"/>
        </w:rPr>
        <w:tab/>
        <w:t xml:space="preserve">To assist with these considerations, </w:t>
      </w:r>
      <w:r w:rsidR="00D55262">
        <w:rPr>
          <w:rFonts w:ascii="Arial" w:hAnsi="Arial" w:cs="Arial"/>
          <w:sz w:val="22"/>
          <w:szCs w:val="22"/>
        </w:rPr>
        <w:t>changes have been highlighted in green and are summarised as follows:</w:t>
      </w:r>
    </w:p>
    <w:p w:rsidR="00D55262" w:rsidP="00D55262" w:rsidRDefault="00D55262">
      <w:pPr>
        <w:pStyle w:val="Header"/>
        <w:tabs>
          <w:tab w:val="clear" w:pos="4153"/>
          <w:tab w:val="clear" w:pos="8306"/>
        </w:tabs>
        <w:ind w:left="720" w:right="-766" w:hanging="720"/>
        <w:rPr>
          <w:rFonts w:ascii="Arial" w:hAnsi="Arial" w:cs="Arial"/>
          <w:sz w:val="22"/>
          <w:szCs w:val="22"/>
        </w:rPr>
      </w:pPr>
    </w:p>
    <w:p w:rsidR="002B457F" w:rsidP="002B457F" w:rsidRDefault="00D55262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ind w:left="1134" w:right="-76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Paragraphs 2.4 to 2.7 updated in accordance with the tenure arrangements approved at the </w:t>
      </w:r>
      <w:r w:rsidR="002B457F">
        <w:rPr>
          <w:rFonts w:ascii="Arial" w:hAnsi="Arial" w:cs="Arial"/>
          <w:sz w:val="22"/>
          <w:szCs w:val="22"/>
        </w:rPr>
        <w:t>September 2015 JARAP.</w:t>
      </w:r>
    </w:p>
    <w:p w:rsidR="002B457F" w:rsidP="002B457F" w:rsidRDefault="002B457F">
      <w:pPr>
        <w:pStyle w:val="Header"/>
        <w:tabs>
          <w:tab w:val="clear" w:pos="4153"/>
          <w:tab w:val="clear" w:pos="8306"/>
        </w:tabs>
        <w:ind w:left="1134" w:right="-766"/>
        <w:rPr>
          <w:rFonts w:ascii="Arial" w:hAnsi="Arial" w:cs="Arial"/>
          <w:sz w:val="22"/>
          <w:szCs w:val="22"/>
        </w:rPr>
      </w:pPr>
    </w:p>
    <w:p w:rsidR="002B457F" w:rsidP="002B457F" w:rsidRDefault="00D55262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ind w:left="1134" w:right="-766" w:hanging="425"/>
        <w:rPr>
          <w:rFonts w:ascii="Arial" w:hAnsi="Arial" w:cs="Arial"/>
          <w:sz w:val="22"/>
          <w:szCs w:val="22"/>
        </w:rPr>
      </w:pPr>
      <w:r w:rsidRPr="002B457F">
        <w:rPr>
          <w:rFonts w:ascii="Arial" w:hAnsi="Arial" w:cs="Arial"/>
          <w:sz w:val="22"/>
          <w:szCs w:val="22"/>
        </w:rPr>
        <w:t>Paragraph 5.1 updated in accordance with practice since 2013 where meetings have mainly exceeded or on one occasion been below the threshold.</w:t>
      </w:r>
    </w:p>
    <w:p w:rsidRPr="002B457F" w:rsidR="002B457F" w:rsidP="002B457F" w:rsidRDefault="002B457F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Pr="002B457F" w:rsidR="00D45316" w:rsidP="002B457F" w:rsidRDefault="00D55262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ind w:left="1134" w:right="-766" w:hanging="425"/>
        <w:rPr>
          <w:rFonts w:ascii="Arial" w:hAnsi="Arial" w:cs="Arial"/>
          <w:sz w:val="22"/>
          <w:szCs w:val="22"/>
        </w:rPr>
      </w:pPr>
      <w:r w:rsidRPr="002B457F">
        <w:rPr>
          <w:rFonts w:ascii="Arial" w:hAnsi="Arial" w:cs="Arial"/>
          <w:sz w:val="22"/>
          <w:szCs w:val="22"/>
        </w:rPr>
        <w:t>Paragraph 6.7 added as this has not previously been specified within the Terms of Reference but has been operated in practice.</w:t>
      </w:r>
    </w:p>
    <w:p w:rsidR="00D45316" w:rsidP="00AB1216" w:rsidRDefault="00D45316">
      <w:pPr>
        <w:pStyle w:val="ListParagraph"/>
        <w:rPr>
          <w:rFonts w:ascii="Arial" w:hAnsi="Arial" w:cs="Arial"/>
          <w:sz w:val="22"/>
          <w:szCs w:val="22"/>
        </w:rPr>
      </w:pPr>
    </w:p>
    <w:p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 w:rsidRPr="00B47FD5">
        <w:rPr>
          <w:rFonts w:ascii="Arial" w:hAnsi="Arial" w:cs="Arial"/>
          <w:b/>
          <w:sz w:val="22"/>
          <w:szCs w:val="22"/>
          <w:u w:val="single"/>
        </w:rPr>
        <w:t>Implications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2"/>
        <w:gridCol w:w="5230"/>
      </w:tblGrid>
      <w:tr w:rsidRPr="008000B8" w:rsidR="00C66AF0" w:rsidTr="002B457F">
        <w:tc>
          <w:tcPr>
            <w:tcW w:w="3292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Financial:</w:t>
            </w:r>
          </w:p>
        </w:tc>
        <w:tc>
          <w:tcPr>
            <w:tcW w:w="5230" w:type="dxa"/>
            <w:shd w:val="clear" w:color="auto" w:fill="auto"/>
          </w:tcPr>
          <w:p w:rsidRPr="008000B8" w:rsidR="00C66AF0" w:rsidP="00F53F2A" w:rsidRDefault="00FC12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financial implications associated with this report.</w:t>
            </w:r>
          </w:p>
        </w:tc>
      </w:tr>
      <w:tr w:rsidRPr="008000B8" w:rsidR="00C66AF0" w:rsidTr="002B457F">
        <w:tc>
          <w:tcPr>
            <w:tcW w:w="3292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</w:t>
            </w:r>
            <w:r w:rsidRPr="008000B8" w:rsidR="00C66AF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30" w:type="dxa"/>
            <w:shd w:val="clear" w:color="auto" w:fill="auto"/>
          </w:tcPr>
          <w:p w:rsidRPr="008000B8" w:rsidR="00C66AF0" w:rsidP="00F53F2A" w:rsidRDefault="00FC12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legal implications associated with this report.</w:t>
            </w:r>
          </w:p>
        </w:tc>
      </w:tr>
      <w:tr w:rsidRPr="008000B8" w:rsidR="00C66AF0" w:rsidTr="002B457F">
        <w:tc>
          <w:tcPr>
            <w:tcW w:w="3292" w:type="dxa"/>
            <w:shd w:val="clear" w:color="auto" w:fill="auto"/>
          </w:tcPr>
          <w:p w:rsidRPr="008000B8" w:rsidR="00C66AF0" w:rsidP="00F53F2A" w:rsidRDefault="00C66AF0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8000B8">
              <w:rPr>
                <w:rFonts w:ascii="Arial" w:hAnsi="Arial" w:cs="Arial"/>
                <w:sz w:val="22"/>
                <w:szCs w:val="22"/>
              </w:rPr>
              <w:t>Equality Impact As</w:t>
            </w:r>
            <w:r w:rsidR="00F53F2A">
              <w:rPr>
                <w:rFonts w:ascii="Arial" w:hAnsi="Arial" w:cs="Arial"/>
                <w:sz w:val="22"/>
                <w:szCs w:val="22"/>
              </w:rPr>
              <w:t>sessment</w:t>
            </w:r>
            <w:r w:rsidRPr="008000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30" w:type="dxa"/>
            <w:shd w:val="clear" w:color="auto" w:fill="auto"/>
          </w:tcPr>
          <w:p w:rsidRPr="008000B8" w:rsidR="00C66AF0" w:rsidP="00F53F2A" w:rsidRDefault="001D5ED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F53F2A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no equality issues associated with this report.</w:t>
            </w:r>
          </w:p>
        </w:tc>
      </w:tr>
      <w:tr w:rsidRPr="008000B8" w:rsidR="002B457F" w:rsidTr="002B457F">
        <w:tc>
          <w:tcPr>
            <w:tcW w:w="3292" w:type="dxa"/>
            <w:shd w:val="clear" w:color="auto" w:fill="auto"/>
          </w:tcPr>
          <w:p w:rsidR="002B457F" w:rsidP="00F53F2A" w:rsidRDefault="002B457F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0" w:type="dxa"/>
            <w:shd w:val="clear" w:color="auto" w:fill="auto"/>
          </w:tcPr>
          <w:p w:rsidR="002B457F" w:rsidP="00F53F2A" w:rsidRDefault="002B457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000B8" w:rsidR="00C66AF0" w:rsidTr="002B457F">
        <w:tc>
          <w:tcPr>
            <w:tcW w:w="3292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Risks and Impact</w:t>
            </w:r>
            <w:r w:rsidRPr="008000B8" w:rsidR="00C66A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0" w:type="dxa"/>
            <w:shd w:val="clear" w:color="auto" w:fill="auto"/>
          </w:tcPr>
          <w:p w:rsidRPr="008000B8" w:rsidR="00C66AF0" w:rsidP="00F53F2A" w:rsidRDefault="001D5ED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impact of managing Risk is covered within the Terms of Reference of the JARAP</w:t>
            </w:r>
            <w:r w:rsidR="00F53F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8000B8" w:rsidR="00C66AF0" w:rsidTr="002B457F">
        <w:tc>
          <w:tcPr>
            <w:tcW w:w="3292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to Police and Crime Plan</w:t>
            </w:r>
            <w:r w:rsidRPr="008000B8" w:rsidR="00C66A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0" w:type="dxa"/>
            <w:shd w:val="clear" w:color="auto" w:fill="auto"/>
          </w:tcPr>
          <w:p w:rsidRPr="008000B8" w:rsidR="00C66AF0" w:rsidP="00F53F2A" w:rsidRDefault="002E36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JARAP provides assurance on the work of the PCC and the Force which align to the plan.</w:t>
            </w:r>
          </w:p>
        </w:tc>
      </w:tr>
    </w:tbl>
    <w:p w:rsidR="00C66AF0" w:rsidP="00F53F2A" w:rsidRDefault="00C66AF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</w:p>
    <w:p w:rsidR="00FD7250" w:rsidP="00F53F2A" w:rsidRDefault="003462A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List of </w:t>
      </w:r>
      <w:r w:rsidR="00FD7250">
        <w:rPr>
          <w:rFonts w:ascii="Arial" w:hAnsi="Arial" w:cs="Arial"/>
          <w:b/>
          <w:sz w:val="22"/>
          <w:szCs w:val="22"/>
          <w:u w:val="single"/>
        </w:rPr>
        <w:t>Appendices</w:t>
      </w:r>
    </w:p>
    <w:p w:rsidR="001D5EDA" w:rsidP="00F53F2A" w:rsidRDefault="003462A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Appendix:  </w:t>
      </w:r>
      <w:r w:rsidR="00F53F2A">
        <w:rPr>
          <w:rFonts w:ascii="Arial" w:hAnsi="Arial" w:cs="Arial"/>
          <w:sz w:val="22"/>
          <w:szCs w:val="22"/>
        </w:rPr>
        <w:t>JARAP T</w:t>
      </w:r>
      <w:r w:rsidR="002E368E">
        <w:rPr>
          <w:rFonts w:ascii="Arial" w:hAnsi="Arial" w:cs="Arial"/>
          <w:sz w:val="22"/>
          <w:szCs w:val="22"/>
        </w:rPr>
        <w:t>erms of Reference</w:t>
      </w:r>
      <w:r w:rsidR="002B457F">
        <w:rPr>
          <w:rFonts w:ascii="Arial" w:hAnsi="Arial" w:cs="Arial"/>
          <w:sz w:val="22"/>
          <w:szCs w:val="22"/>
        </w:rPr>
        <w:t>.</w:t>
      </w:r>
    </w:p>
    <w:p w:rsidR="001D5EDA" w:rsidP="00F53F2A" w:rsidRDefault="001D5EDA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Pr="00B47FD5"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B47FD5">
        <w:rPr>
          <w:rFonts w:ascii="Arial" w:hAnsi="Arial" w:cs="Arial"/>
          <w:b/>
          <w:sz w:val="22"/>
          <w:szCs w:val="22"/>
          <w:u w:val="single"/>
        </w:rPr>
        <w:t>Background Papers</w:t>
      </w:r>
    </w:p>
    <w:p w:rsidRPr="00B47FD5" w:rsidR="00FD7250" w:rsidP="00F53F2A" w:rsidRDefault="002E368E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="00F53F2A">
        <w:rPr>
          <w:rFonts w:ascii="Arial" w:hAnsi="Arial" w:cs="Arial"/>
          <w:sz w:val="22"/>
          <w:szCs w:val="22"/>
        </w:rPr>
        <w:t>.</w:t>
      </w:r>
    </w:p>
    <w:p w:rsidRPr="00B47FD5"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Pr="00B47FD5"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Person</w:t>
      </w:r>
      <w:r w:rsidRPr="00B47FD5">
        <w:rPr>
          <w:rFonts w:ascii="Arial" w:hAnsi="Arial" w:cs="Arial"/>
          <w:b/>
          <w:sz w:val="22"/>
          <w:szCs w:val="22"/>
          <w:u w:val="single"/>
        </w:rPr>
        <w:t xml:space="preserve"> to Contact</w:t>
      </w:r>
    </w:p>
    <w:p w:rsidR="002B457F" w:rsidP="00F53F2A" w:rsidRDefault="002E368E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 King, Chief Finance Officer</w:t>
      </w:r>
    </w:p>
    <w:p w:rsidR="001610E8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B47FD5">
        <w:rPr>
          <w:rFonts w:ascii="Arial" w:hAnsi="Arial" w:cs="Arial"/>
          <w:sz w:val="22"/>
          <w:szCs w:val="22"/>
        </w:rPr>
        <w:t xml:space="preserve">Tel 0116 </w:t>
      </w:r>
      <w:r w:rsidR="002E368E">
        <w:rPr>
          <w:rFonts w:ascii="Arial" w:hAnsi="Arial" w:cs="Arial"/>
          <w:sz w:val="22"/>
          <w:szCs w:val="22"/>
        </w:rPr>
        <w:t>229 8702</w:t>
      </w:r>
      <w:r w:rsidR="002B457F">
        <w:rPr>
          <w:rFonts w:ascii="Arial" w:hAnsi="Arial" w:cs="Arial"/>
          <w:sz w:val="22"/>
          <w:szCs w:val="22"/>
        </w:rPr>
        <w:t>, e</w:t>
      </w:r>
      <w:r w:rsidR="003462AB">
        <w:rPr>
          <w:rFonts w:ascii="Arial" w:hAnsi="Arial" w:cs="Arial"/>
          <w:sz w:val="22"/>
          <w:szCs w:val="22"/>
        </w:rPr>
        <w:t xml:space="preserve">mail:  </w:t>
      </w:r>
      <w:hyperlink w:history="1" r:id="rId8">
        <w:r w:rsidRPr="000C0F5A" w:rsidR="00670370">
          <w:rPr>
            <w:rStyle w:val="Hyperlink"/>
            <w:rFonts w:ascii="Arial" w:hAnsi="Arial" w:cs="Arial"/>
            <w:sz w:val="22"/>
            <w:szCs w:val="22"/>
          </w:rPr>
          <w:t>helen.king@leics.pcc.pnn.gov.uk</w:t>
        </w:r>
      </w:hyperlink>
    </w:p>
    <w:p w:rsidR="00670370" w:rsidP="00F53F2A" w:rsidRDefault="00670370">
      <w:pPr>
        <w:pStyle w:val="Header"/>
        <w:tabs>
          <w:tab w:val="clear" w:pos="4153"/>
          <w:tab w:val="clear" w:pos="8306"/>
        </w:tabs>
        <w:ind w:right="-766"/>
        <w:rPr>
          <w:sz w:val="15"/>
          <w:szCs w:val="15"/>
        </w:rPr>
      </w:pPr>
    </w:p>
    <w:sectPr w:rsidR="0067037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8D" w:rsidRDefault="001C178D" w:rsidP="005B06FB">
      <w:r>
        <w:separator/>
      </w:r>
    </w:p>
  </w:endnote>
  <w:endnote w:type="continuationSeparator" w:id="0">
    <w:p w:rsidR="001C178D" w:rsidRDefault="001C178D" w:rsidP="005B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13" w:rsidRDefault="00A55146">
    <w:pPr>
      <w:pStyle w:val="Footer"/>
      <w:jc w:val="center"/>
    </w:pPr>
    <w:r>
      <w:t>F</w:t>
    </w:r>
    <w:r w:rsidR="00511B13">
      <w:fldChar w:fldCharType="begin"/>
    </w:r>
    <w:r w:rsidR="00511B13">
      <w:instrText xml:space="preserve"> PAGE   \* MERGEFORMAT </w:instrText>
    </w:r>
    <w:r w:rsidR="00511B13">
      <w:fldChar w:fldCharType="separate"/>
    </w:r>
    <w:r>
      <w:rPr>
        <w:noProof/>
      </w:rPr>
      <w:t>1</w:t>
    </w:r>
    <w:r w:rsidR="00511B13">
      <w:rPr>
        <w:noProof/>
      </w:rPr>
      <w:fldChar w:fldCharType="end"/>
    </w:r>
  </w:p>
  <w:p w:rsidR="001610E8" w:rsidRDefault="001610E8">
    <w:pPr>
      <w:kinsoku w:val="0"/>
      <w:overflowPunct w:val="0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8D" w:rsidRDefault="001C178D" w:rsidP="005B06FB">
      <w:r>
        <w:separator/>
      </w:r>
    </w:p>
  </w:footnote>
  <w:footnote w:type="continuationSeparator" w:id="0">
    <w:p w:rsidR="001C178D" w:rsidRDefault="001C178D" w:rsidP="005B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E8" w:rsidRDefault="001610E8">
    <w:pPr>
      <w:kinsoku w:val="0"/>
      <w:overflowPunct w:val="0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79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579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hanging="1157"/>
      </w:pPr>
    </w:lvl>
    <w:lvl w:ilvl="1">
      <w:start w:val="1"/>
      <w:numFmt w:val="decimal"/>
      <w:lvlText w:val="%1.%2"/>
      <w:lvlJc w:val="left"/>
      <w:pPr>
        <w:ind w:hanging="1157"/>
      </w:pPr>
    </w:lvl>
    <w:lvl w:ilvl="2">
      <w:start w:val="1"/>
      <w:numFmt w:val="decimal"/>
      <w:lvlText w:val="%1.%2.%3"/>
      <w:lvlJc w:val="left"/>
      <w:pPr>
        <w:ind w:hanging="115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hanging="579"/>
      </w:pPr>
    </w:lvl>
    <w:lvl w:ilvl="1">
      <w:start w:val="2"/>
      <w:numFmt w:val="decimal"/>
      <w:lvlText w:val="%1.%2"/>
      <w:lvlJc w:val="left"/>
      <w:pPr>
        <w:ind w:hanging="579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0"/>
      <w:numFmt w:val="decimal"/>
      <w:lvlText w:val="%1"/>
      <w:lvlJc w:val="left"/>
      <w:pPr>
        <w:ind w:hanging="579"/>
      </w:pPr>
    </w:lvl>
    <w:lvl w:ilvl="1">
      <w:start w:val="3"/>
      <w:numFmt w:val="decimal"/>
      <w:lvlText w:val="%1.%2"/>
      <w:lvlJc w:val="left"/>
      <w:pPr>
        <w:ind w:hanging="579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0"/>
      <w:numFmt w:val="decimal"/>
      <w:lvlText w:val="%1"/>
      <w:lvlJc w:val="left"/>
      <w:pPr>
        <w:ind w:hanging="1157"/>
      </w:pPr>
    </w:lvl>
    <w:lvl w:ilvl="1">
      <w:start w:val="4"/>
      <w:numFmt w:val="decimal"/>
      <w:lvlText w:val="%1.%2"/>
      <w:lvlJc w:val="left"/>
      <w:pPr>
        <w:ind w:hanging="1157"/>
      </w:pPr>
    </w:lvl>
    <w:lvl w:ilvl="2">
      <w:start w:val="1"/>
      <w:numFmt w:val="decimal"/>
      <w:lvlText w:val="%1.%2.%3"/>
      <w:lvlJc w:val="left"/>
      <w:pPr>
        <w:ind w:hanging="115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DBF0AA3"/>
    <w:multiLevelType w:val="singleLevel"/>
    <w:tmpl w:val="EA3457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F942644"/>
    <w:multiLevelType w:val="hybridMultilevel"/>
    <w:tmpl w:val="7EE8F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D3EB7"/>
    <w:multiLevelType w:val="hybridMultilevel"/>
    <w:tmpl w:val="4446AA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5A200B"/>
    <w:multiLevelType w:val="hybridMultilevel"/>
    <w:tmpl w:val="FE4C3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A2374"/>
    <w:multiLevelType w:val="hybridMultilevel"/>
    <w:tmpl w:val="DA1884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F62014"/>
    <w:multiLevelType w:val="hybridMultilevel"/>
    <w:tmpl w:val="76A29F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B690F"/>
    <w:multiLevelType w:val="hybridMultilevel"/>
    <w:tmpl w:val="7962391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E76010"/>
    <w:multiLevelType w:val="hybridMultilevel"/>
    <w:tmpl w:val="2D1CD0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9335D2"/>
    <w:multiLevelType w:val="hybridMultilevel"/>
    <w:tmpl w:val="E272D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4470EE"/>
    <w:multiLevelType w:val="hybridMultilevel"/>
    <w:tmpl w:val="CD640578"/>
    <w:lvl w:ilvl="0" w:tplc="09488912">
      <w:start w:val="1"/>
      <w:numFmt w:val="low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250"/>
    <w:rsid w:val="000D6F37"/>
    <w:rsid w:val="000F190E"/>
    <w:rsid w:val="00114994"/>
    <w:rsid w:val="001261A7"/>
    <w:rsid w:val="001610E8"/>
    <w:rsid w:val="00181B74"/>
    <w:rsid w:val="001C0967"/>
    <w:rsid w:val="001C178D"/>
    <w:rsid w:val="001D5EDA"/>
    <w:rsid w:val="001E48F6"/>
    <w:rsid w:val="00247A85"/>
    <w:rsid w:val="002A1435"/>
    <w:rsid w:val="002B457F"/>
    <w:rsid w:val="002E368E"/>
    <w:rsid w:val="002E4528"/>
    <w:rsid w:val="003462AB"/>
    <w:rsid w:val="0036278C"/>
    <w:rsid w:val="003B6D47"/>
    <w:rsid w:val="003D101D"/>
    <w:rsid w:val="003F7079"/>
    <w:rsid w:val="00411F15"/>
    <w:rsid w:val="00455D7E"/>
    <w:rsid w:val="004571A2"/>
    <w:rsid w:val="004912E8"/>
    <w:rsid w:val="004A0400"/>
    <w:rsid w:val="004F1B04"/>
    <w:rsid w:val="004F4839"/>
    <w:rsid w:val="00507D73"/>
    <w:rsid w:val="00511B13"/>
    <w:rsid w:val="005B06FB"/>
    <w:rsid w:val="00645AEC"/>
    <w:rsid w:val="00670370"/>
    <w:rsid w:val="00682862"/>
    <w:rsid w:val="006835CB"/>
    <w:rsid w:val="007474DE"/>
    <w:rsid w:val="007A7C8B"/>
    <w:rsid w:val="008000B8"/>
    <w:rsid w:val="00833738"/>
    <w:rsid w:val="0084620D"/>
    <w:rsid w:val="008D4B27"/>
    <w:rsid w:val="009201E4"/>
    <w:rsid w:val="00921C2E"/>
    <w:rsid w:val="00A015EB"/>
    <w:rsid w:val="00A55146"/>
    <w:rsid w:val="00A910FA"/>
    <w:rsid w:val="00A97237"/>
    <w:rsid w:val="00AB1216"/>
    <w:rsid w:val="00AD216C"/>
    <w:rsid w:val="00C20F40"/>
    <w:rsid w:val="00C66AF0"/>
    <w:rsid w:val="00CE1164"/>
    <w:rsid w:val="00D45316"/>
    <w:rsid w:val="00D55262"/>
    <w:rsid w:val="00E656B4"/>
    <w:rsid w:val="00E91406"/>
    <w:rsid w:val="00EC517B"/>
    <w:rsid w:val="00EE511B"/>
    <w:rsid w:val="00F53F2A"/>
    <w:rsid w:val="00F54D83"/>
    <w:rsid w:val="00F80AC6"/>
    <w:rsid w:val="00FA1F0F"/>
    <w:rsid w:val="00FC120A"/>
    <w:rsid w:val="00FC7EAC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250"/>
    <w:rPr>
      <w:rFonts w:ascii="Century Gothic" w:hAnsi="Century Gothic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1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7250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D725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D7250"/>
    <w:pPr>
      <w:keepNext/>
      <w:jc w:val="both"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D7250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250"/>
    <w:pPr>
      <w:tabs>
        <w:tab w:val="center" w:pos="4153"/>
        <w:tab w:val="right" w:pos="8306"/>
      </w:tabs>
    </w:pPr>
  </w:style>
  <w:style w:type="character" w:styleId="Hyperlink">
    <w:name w:val="Hyperlink"/>
    <w:rsid w:val="00FD7250"/>
    <w:rPr>
      <w:color w:val="0000FF"/>
      <w:u w:val="single"/>
    </w:rPr>
  </w:style>
  <w:style w:type="table" w:styleId="TableGrid">
    <w:name w:val="Table Grid"/>
    <w:basedOn w:val="TableNormal"/>
    <w:rsid w:val="00FD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462A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C66AF0"/>
    <w:pPr>
      <w:tabs>
        <w:tab w:val="left" w:pos="709"/>
      </w:tabs>
      <w:jc w:val="both"/>
    </w:pPr>
    <w:rPr>
      <w:lang w:eastAsia="en-GB"/>
    </w:rPr>
  </w:style>
  <w:style w:type="paragraph" w:styleId="ListParagraph">
    <w:name w:val="List Paragraph"/>
    <w:basedOn w:val="Normal"/>
    <w:uiPriority w:val="1"/>
    <w:qFormat/>
    <w:rsid w:val="00A015EB"/>
    <w:pPr>
      <w:ind w:left="720"/>
    </w:pPr>
  </w:style>
  <w:style w:type="character" w:customStyle="1" w:styleId="Heading1Char">
    <w:name w:val="Heading 1 Char"/>
    <w:link w:val="Heading1"/>
    <w:uiPriority w:val="9"/>
    <w:rsid w:val="001610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dyTextChar">
    <w:name w:val="Body Text Char"/>
    <w:link w:val="BodyText"/>
    <w:uiPriority w:val="1"/>
    <w:rsid w:val="001610E8"/>
    <w:rPr>
      <w:rFonts w:ascii="Century Gothic" w:hAnsi="Century Gothic"/>
    </w:rPr>
  </w:style>
  <w:style w:type="character" w:customStyle="1" w:styleId="Heading2Char">
    <w:name w:val="Heading 2 Char"/>
    <w:link w:val="Heading2"/>
    <w:uiPriority w:val="1"/>
    <w:rsid w:val="001610E8"/>
    <w:rPr>
      <w:rFonts w:ascii="Century Gothic" w:hAnsi="Century Gothic"/>
      <w:b/>
      <w:sz w:val="24"/>
      <w:u w:val="single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610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511B13"/>
    <w:rPr>
      <w:rFonts w:ascii="Century Gothic" w:hAnsi="Century Gothic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ing@leics.pcc.pnn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CRIME COMMISSIONER FOR LEICESTERSHIRE</vt:lpstr>
    </vt:vector>
  </TitlesOfParts>
  <Company>Leicestershire Constabulary</Company>
  <LinksUpToDate>false</LinksUpToDate>
  <CharactersWithSpaces>1933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mailto:helen.king@leics.pcc.pnn.gov.uk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Paper-F-Revised-Terms-of-Reference</dc:title>
  <dc:subject>
  </dc:subject>
  <dc:creator>9773</dc:creator>
  <cp:keywords>
  </cp:keywords>
  <cp:lastModifiedBy>Bina Ghelani</cp:lastModifiedBy>
  <cp:revision>5</cp:revision>
  <cp:lastPrinted>2012-11-29T10:16:00Z</cp:lastPrinted>
  <dcterms:created xsi:type="dcterms:W3CDTF">2015-11-23T16:45:00Z</dcterms:created>
  <dcterms:modified xsi:type="dcterms:W3CDTF">2015-11-27T16:07:06Z</dcterms:modified>
</cp:coreProperties>
</file>