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861C" w14:textId="77777777" w:rsidR="003F7BC7" w:rsidRDefault="003F7BC7" w:rsidP="003F7BC7">
      <w:pPr>
        <w:rPr>
          <w:rFonts w:ascii="Arial" w:hAnsi="Arial" w:cs="Arial"/>
          <w:b/>
          <w:bCs/>
          <w:color w:val="2F5496" w:themeColor="accent1" w:themeShade="BF"/>
          <w:sz w:val="44"/>
          <w:szCs w:val="44"/>
        </w:rPr>
      </w:pPr>
      <w:r w:rsidRPr="00BB3E18">
        <w:rPr>
          <w:noProof/>
        </w:rPr>
        <w:drawing>
          <wp:anchor distT="0" distB="0" distL="114300" distR="114300" simplePos="0" relativeHeight="251659264" behindDoc="0" locked="0" layoutInCell="1" allowOverlap="1" wp14:anchorId="3D33738A" wp14:editId="54781F78">
            <wp:simplePos x="0" y="0"/>
            <wp:positionH relativeFrom="margin">
              <wp:posOffset>4857750</wp:posOffset>
            </wp:positionH>
            <wp:positionV relativeFrom="paragraph">
              <wp:posOffset>-521759</wp:posOffset>
            </wp:positionV>
            <wp:extent cx="1559540" cy="1580427"/>
            <wp:effectExtent l="0" t="0" r="3175" b="1270"/>
            <wp:wrapNone/>
            <wp:docPr id="2" name="Picture 2" descr="A logo for a police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police commissi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9540" cy="1580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2B824" w14:textId="77777777" w:rsidR="003F7BC7" w:rsidRDefault="003F7BC7" w:rsidP="003F7BC7">
      <w:pPr>
        <w:tabs>
          <w:tab w:val="left" w:pos="1395"/>
        </w:tabs>
        <w:rPr>
          <w:rFonts w:ascii="Arial" w:hAnsi="Arial" w:cs="Arial"/>
          <w:sz w:val="24"/>
          <w:szCs w:val="24"/>
        </w:rPr>
      </w:pPr>
      <w:r>
        <w:rPr>
          <w:rFonts w:ascii="Arial" w:hAnsi="Arial" w:cs="Arial"/>
          <w:sz w:val="24"/>
          <w:szCs w:val="24"/>
        </w:rPr>
        <w:tab/>
      </w:r>
    </w:p>
    <w:p w14:paraId="22AEF9FF" w14:textId="77777777" w:rsidR="003F7BC7" w:rsidRDefault="003F7BC7" w:rsidP="003F7BC7">
      <w:pPr>
        <w:tabs>
          <w:tab w:val="left" w:pos="1395"/>
        </w:tabs>
        <w:rPr>
          <w:rFonts w:ascii="Arial" w:hAnsi="Arial" w:cs="Arial"/>
          <w:sz w:val="24"/>
          <w:szCs w:val="24"/>
        </w:rPr>
      </w:pPr>
    </w:p>
    <w:p w14:paraId="2DB978F7" w14:textId="77777777" w:rsidR="003F7BC7" w:rsidRPr="00BB3E18" w:rsidRDefault="003F7BC7" w:rsidP="003F7BC7">
      <w:pPr>
        <w:tabs>
          <w:tab w:val="left" w:pos="1395"/>
        </w:tabs>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3F7BC7" w:rsidRPr="00BB3E18" w14:paraId="3FD9D51F" w14:textId="77777777" w:rsidTr="003C32E7">
        <w:trPr>
          <w:trHeight w:val="567"/>
        </w:trPr>
        <w:tc>
          <w:tcPr>
            <w:tcW w:w="2263" w:type="dxa"/>
            <w:vAlign w:val="center"/>
          </w:tcPr>
          <w:p w14:paraId="3F626097" w14:textId="77777777" w:rsidR="003F7BC7" w:rsidRPr="00BB3E18" w:rsidRDefault="003F7BC7" w:rsidP="003C32E7">
            <w:pPr>
              <w:rPr>
                <w:rFonts w:ascii="Arial" w:hAnsi="Arial" w:cs="Arial"/>
                <w:sz w:val="24"/>
                <w:szCs w:val="24"/>
              </w:rPr>
            </w:pPr>
            <w:r w:rsidRPr="00BB3E18">
              <w:rPr>
                <w:rFonts w:ascii="Arial" w:hAnsi="Arial" w:cs="Arial"/>
                <w:sz w:val="24"/>
                <w:szCs w:val="24"/>
              </w:rPr>
              <w:t>Work Area</w:t>
            </w:r>
          </w:p>
        </w:tc>
        <w:tc>
          <w:tcPr>
            <w:tcW w:w="6753" w:type="dxa"/>
            <w:vAlign w:val="center"/>
          </w:tcPr>
          <w:p w14:paraId="3C2057EC" w14:textId="17740067" w:rsidR="003F7BC7" w:rsidRPr="00BB3E18" w:rsidRDefault="002439BE" w:rsidP="003C32E7">
            <w:pPr>
              <w:rPr>
                <w:rFonts w:ascii="Arial" w:hAnsi="Arial" w:cs="Arial"/>
                <w:sz w:val="24"/>
                <w:szCs w:val="24"/>
              </w:rPr>
            </w:pPr>
            <w:r>
              <w:rPr>
                <w:rFonts w:ascii="Arial" w:hAnsi="Arial" w:cs="Arial"/>
                <w:sz w:val="24"/>
                <w:szCs w:val="24"/>
              </w:rPr>
              <w:t xml:space="preserve">Commissioning and Partnership </w:t>
            </w:r>
            <w:r w:rsidR="003F7BC7">
              <w:rPr>
                <w:rFonts w:ascii="Arial" w:hAnsi="Arial" w:cs="Arial"/>
                <w:sz w:val="24"/>
                <w:szCs w:val="24"/>
              </w:rPr>
              <w:t xml:space="preserve"> </w:t>
            </w:r>
          </w:p>
        </w:tc>
      </w:tr>
      <w:tr w:rsidR="003F7BC7" w:rsidRPr="00BB3E18" w14:paraId="253CD75E" w14:textId="77777777" w:rsidTr="003C32E7">
        <w:trPr>
          <w:trHeight w:val="567"/>
        </w:trPr>
        <w:tc>
          <w:tcPr>
            <w:tcW w:w="2263" w:type="dxa"/>
            <w:vAlign w:val="center"/>
          </w:tcPr>
          <w:p w14:paraId="22D1DEAE" w14:textId="77777777" w:rsidR="003F7BC7" w:rsidRPr="00BB3E18" w:rsidRDefault="003F7BC7" w:rsidP="003C32E7">
            <w:pPr>
              <w:rPr>
                <w:rFonts w:ascii="Arial" w:hAnsi="Arial" w:cs="Arial"/>
                <w:sz w:val="24"/>
                <w:szCs w:val="24"/>
              </w:rPr>
            </w:pPr>
            <w:r w:rsidRPr="00BB3E18">
              <w:rPr>
                <w:rFonts w:ascii="Arial" w:hAnsi="Arial" w:cs="Arial"/>
                <w:sz w:val="24"/>
                <w:szCs w:val="24"/>
              </w:rPr>
              <w:t>Marking</w:t>
            </w:r>
          </w:p>
        </w:tc>
        <w:tc>
          <w:tcPr>
            <w:tcW w:w="6753" w:type="dxa"/>
            <w:vAlign w:val="center"/>
          </w:tcPr>
          <w:p w14:paraId="68587992" w14:textId="77777777" w:rsidR="003F7BC7" w:rsidRPr="00BB3E18" w:rsidRDefault="003F7BC7" w:rsidP="003C32E7">
            <w:pPr>
              <w:rPr>
                <w:rFonts w:ascii="Arial" w:hAnsi="Arial" w:cs="Arial"/>
                <w:sz w:val="24"/>
                <w:szCs w:val="24"/>
              </w:rPr>
            </w:pPr>
            <w:r>
              <w:rPr>
                <w:rFonts w:ascii="Arial" w:hAnsi="Arial" w:cs="Arial"/>
                <w:sz w:val="24"/>
                <w:szCs w:val="24"/>
              </w:rPr>
              <w:t>Official</w:t>
            </w:r>
          </w:p>
        </w:tc>
      </w:tr>
      <w:tr w:rsidR="003F7BC7" w:rsidRPr="00BB3E18" w14:paraId="46508DDA" w14:textId="77777777" w:rsidTr="003C32E7">
        <w:trPr>
          <w:trHeight w:val="567"/>
        </w:trPr>
        <w:tc>
          <w:tcPr>
            <w:tcW w:w="2263" w:type="dxa"/>
            <w:vAlign w:val="center"/>
          </w:tcPr>
          <w:p w14:paraId="2A1EF842" w14:textId="77777777" w:rsidR="003F7BC7" w:rsidRPr="00BB3E18" w:rsidRDefault="003F7BC7" w:rsidP="003C32E7">
            <w:pPr>
              <w:rPr>
                <w:rFonts w:ascii="Arial" w:hAnsi="Arial" w:cs="Arial"/>
                <w:sz w:val="24"/>
                <w:szCs w:val="24"/>
              </w:rPr>
            </w:pPr>
            <w:r w:rsidRPr="00BB3E18">
              <w:rPr>
                <w:rFonts w:ascii="Arial" w:hAnsi="Arial" w:cs="Arial"/>
                <w:sz w:val="24"/>
                <w:szCs w:val="24"/>
              </w:rPr>
              <w:t>Author</w:t>
            </w:r>
          </w:p>
        </w:tc>
        <w:tc>
          <w:tcPr>
            <w:tcW w:w="6753" w:type="dxa"/>
            <w:vAlign w:val="center"/>
          </w:tcPr>
          <w:p w14:paraId="0126BDEB" w14:textId="5462C94F" w:rsidR="003F7BC7" w:rsidRPr="00BB3E18" w:rsidRDefault="003F7BC7" w:rsidP="003C32E7">
            <w:pPr>
              <w:rPr>
                <w:rFonts w:ascii="Arial" w:hAnsi="Arial" w:cs="Arial"/>
                <w:sz w:val="24"/>
                <w:szCs w:val="24"/>
              </w:rPr>
            </w:pPr>
            <w:r>
              <w:rPr>
                <w:rFonts w:ascii="Arial" w:hAnsi="Arial" w:cs="Arial"/>
                <w:sz w:val="24"/>
                <w:szCs w:val="24"/>
              </w:rPr>
              <w:t>Siobhan Peters</w:t>
            </w:r>
            <w:r w:rsidR="00A251E7">
              <w:rPr>
                <w:rFonts w:ascii="Arial" w:hAnsi="Arial" w:cs="Arial"/>
                <w:sz w:val="24"/>
                <w:szCs w:val="24"/>
              </w:rPr>
              <w:t xml:space="preserve">  </w:t>
            </w:r>
          </w:p>
        </w:tc>
      </w:tr>
      <w:tr w:rsidR="003F7BC7" w:rsidRPr="00BB3E18" w14:paraId="2AFB62D5" w14:textId="77777777" w:rsidTr="003F7BC7">
        <w:trPr>
          <w:trHeight w:val="725"/>
        </w:trPr>
        <w:tc>
          <w:tcPr>
            <w:tcW w:w="2263" w:type="dxa"/>
            <w:vAlign w:val="center"/>
          </w:tcPr>
          <w:p w14:paraId="1B5EC7DB" w14:textId="77777777" w:rsidR="003F7BC7" w:rsidRPr="00BB3E18" w:rsidRDefault="003F7BC7" w:rsidP="003C32E7">
            <w:pPr>
              <w:rPr>
                <w:rFonts w:ascii="Arial" w:hAnsi="Arial" w:cs="Arial"/>
                <w:sz w:val="24"/>
                <w:szCs w:val="24"/>
              </w:rPr>
            </w:pPr>
            <w:r w:rsidRPr="00BB3E18">
              <w:rPr>
                <w:rFonts w:ascii="Arial" w:hAnsi="Arial" w:cs="Arial"/>
                <w:sz w:val="24"/>
                <w:szCs w:val="24"/>
              </w:rPr>
              <w:t>Purpose</w:t>
            </w:r>
          </w:p>
        </w:tc>
        <w:tc>
          <w:tcPr>
            <w:tcW w:w="6753" w:type="dxa"/>
            <w:vAlign w:val="center"/>
          </w:tcPr>
          <w:p w14:paraId="1E25CB77" w14:textId="2A57B34C" w:rsidR="003F7BC7" w:rsidRPr="00BB3E18" w:rsidRDefault="003F7BC7" w:rsidP="003C32E7">
            <w:pPr>
              <w:rPr>
                <w:rFonts w:ascii="Arial" w:hAnsi="Arial" w:cs="Arial"/>
                <w:sz w:val="24"/>
                <w:szCs w:val="24"/>
              </w:rPr>
            </w:pPr>
            <w:r>
              <w:rPr>
                <w:rFonts w:ascii="Arial" w:hAnsi="Arial" w:cs="Arial"/>
                <w:sz w:val="24"/>
                <w:szCs w:val="24"/>
              </w:rPr>
              <w:t xml:space="preserve">Ethics &amp; Transparency Panel – VAWG Supporting Victims &amp; Using Clare’s Law </w:t>
            </w:r>
          </w:p>
        </w:tc>
      </w:tr>
    </w:tbl>
    <w:p w14:paraId="2E248F35" w14:textId="40651B11" w:rsidR="00A81242" w:rsidRDefault="00A81242" w:rsidP="000F72A3">
      <w:pPr>
        <w:rPr>
          <w:rFonts w:ascii="Arial" w:hAnsi="Arial" w:cs="Arial"/>
          <w:sz w:val="24"/>
          <w:szCs w:val="24"/>
        </w:rPr>
      </w:pPr>
    </w:p>
    <w:p w14:paraId="2217717C" w14:textId="77777777" w:rsidR="002439BE" w:rsidRPr="002439BE" w:rsidRDefault="002439BE" w:rsidP="002439BE">
      <w:pPr>
        <w:rPr>
          <w:rFonts w:ascii="Arial" w:hAnsi="Arial" w:cs="Arial"/>
          <w:b/>
          <w:bCs/>
          <w:u w:val="single"/>
        </w:rPr>
      </w:pPr>
      <w:r w:rsidRPr="002439BE">
        <w:rPr>
          <w:rFonts w:ascii="Arial" w:hAnsi="Arial" w:cs="Arial"/>
          <w:b/>
          <w:bCs/>
          <w:u w:val="single"/>
        </w:rPr>
        <w:t>Purpose of report</w:t>
      </w:r>
    </w:p>
    <w:p w14:paraId="61EEC6F2" w14:textId="6E2A172B" w:rsidR="00A81242" w:rsidRPr="002439BE" w:rsidRDefault="00A81242" w:rsidP="000F72A3">
      <w:pPr>
        <w:rPr>
          <w:rFonts w:ascii="Arial" w:hAnsi="Arial" w:cs="Arial"/>
        </w:rPr>
      </w:pPr>
      <w:r w:rsidRPr="002439BE">
        <w:rPr>
          <w:rFonts w:ascii="Arial" w:hAnsi="Arial" w:cs="Arial"/>
        </w:rPr>
        <w:t xml:space="preserve">This briefing paper provides an overview of the support available to victims of Violence Against Women and Girls (VAWG) across Leicester, Leicestershire, and Rutland (LLR). It has been prepared for the Ethics </w:t>
      </w:r>
      <w:r w:rsidR="00837CC3" w:rsidRPr="002439BE">
        <w:rPr>
          <w:rFonts w:ascii="Arial" w:hAnsi="Arial" w:cs="Arial"/>
        </w:rPr>
        <w:t xml:space="preserve">&amp; Transparency </w:t>
      </w:r>
      <w:r w:rsidRPr="002439BE">
        <w:rPr>
          <w:rFonts w:ascii="Arial" w:hAnsi="Arial" w:cs="Arial"/>
        </w:rPr>
        <w:t>Panel to support scrutiny, accountability, and system learning relating to how victims experience the criminal justice journey, how multi agency partners support them, and how commissioning, policing, and specialist services work together to reduce harm, improve outcomes, and uphold the principles of the Victims Code.</w:t>
      </w:r>
    </w:p>
    <w:p w14:paraId="50148F9F" w14:textId="6AB2A19C" w:rsidR="000F72A3" w:rsidRPr="003909C7" w:rsidRDefault="000F72A3" w:rsidP="000F72A3">
      <w:pPr>
        <w:rPr>
          <w:rFonts w:ascii="Arial" w:hAnsi="Arial" w:cs="Arial"/>
          <w:color w:val="FF0000"/>
        </w:rPr>
      </w:pPr>
      <w:r w:rsidRPr="003909C7">
        <w:rPr>
          <w:rFonts w:ascii="Arial" w:hAnsi="Arial" w:cs="Arial"/>
          <w:b/>
          <w:bCs/>
          <w:color w:val="FF0000"/>
        </w:rPr>
        <w:t>What steps are taken to understand and address reasons for victim withdrawal?</w:t>
      </w:r>
      <w:r w:rsidRPr="003909C7">
        <w:rPr>
          <w:rFonts w:ascii="Arial" w:hAnsi="Arial" w:cs="Arial"/>
          <w:color w:val="FF0000"/>
        </w:rPr>
        <w:t xml:space="preserve"> </w:t>
      </w:r>
    </w:p>
    <w:p w14:paraId="4BCD5531" w14:textId="1E6F626B" w:rsidR="00F814EB" w:rsidRPr="002439BE" w:rsidRDefault="00F814EB" w:rsidP="00F814EB">
      <w:pPr>
        <w:rPr>
          <w:rFonts w:ascii="Arial" w:hAnsi="Arial" w:cs="Arial"/>
        </w:rPr>
      </w:pPr>
      <w:r w:rsidRPr="002439BE">
        <w:rPr>
          <w:rFonts w:ascii="Arial" w:hAnsi="Arial" w:cs="Arial"/>
        </w:rPr>
        <w:t xml:space="preserve">Victim withdrawal is a key contributor to poor outcomes nationally and locally. Key factors which drive victims to disengage is complex, </w:t>
      </w:r>
      <w:r w:rsidR="004E2CE1" w:rsidRPr="002439BE">
        <w:rPr>
          <w:rFonts w:ascii="Arial" w:hAnsi="Arial" w:cs="Arial"/>
        </w:rPr>
        <w:t>intersectional,</w:t>
      </w:r>
      <w:r w:rsidRPr="002439BE">
        <w:rPr>
          <w:rFonts w:ascii="Arial" w:hAnsi="Arial" w:cs="Arial"/>
        </w:rPr>
        <w:t xml:space="preserve"> and multi-layered. In consultation with victims the reasons most often stated </w:t>
      </w:r>
      <w:r w:rsidR="00FD6608" w:rsidRPr="002439BE">
        <w:rPr>
          <w:rFonts w:ascii="Arial" w:hAnsi="Arial" w:cs="Arial"/>
        </w:rPr>
        <w:t xml:space="preserve">are </w:t>
      </w:r>
      <w:r w:rsidRPr="002439BE">
        <w:rPr>
          <w:rFonts w:ascii="Arial" w:hAnsi="Arial" w:cs="Arial"/>
        </w:rPr>
        <w:t xml:space="preserve">fear of retaliation or consequences including pressure, </w:t>
      </w:r>
      <w:r w:rsidR="00DA2C42" w:rsidRPr="002439BE">
        <w:rPr>
          <w:rFonts w:ascii="Arial" w:hAnsi="Arial" w:cs="Arial"/>
        </w:rPr>
        <w:t>coercion,</w:t>
      </w:r>
      <w:r w:rsidRPr="002439BE">
        <w:rPr>
          <w:rFonts w:ascii="Arial" w:hAnsi="Arial" w:cs="Arial"/>
        </w:rPr>
        <w:t xml:space="preserve"> or manipulation by the perpetrator. The length, complexity, and emotional burden of the Criminal Justice System (CJS), whereby victims, particularly victims of rape and serious sexual assault (RASSO), can be subject to multiple adjournments with lengths of cases stretching up to six years before reaching court. Many victims have negative prior experiences with police or courts which impacts their capacity to engage fully with the CJS.</w:t>
      </w:r>
      <w:r w:rsidR="004E2CE1" w:rsidRPr="002439BE">
        <w:rPr>
          <w:rFonts w:ascii="Arial" w:hAnsi="Arial" w:cs="Arial"/>
        </w:rPr>
        <w:t xml:space="preserve"> Female victims often face higher rates of child and other caring responsibilities </w:t>
      </w:r>
      <w:r w:rsidR="00FD6608" w:rsidRPr="002439BE">
        <w:rPr>
          <w:rFonts w:ascii="Arial" w:hAnsi="Arial" w:cs="Arial"/>
        </w:rPr>
        <w:t>that impede their ability to engage, often linked with mental</w:t>
      </w:r>
      <w:r w:rsidRPr="002439BE">
        <w:rPr>
          <w:rFonts w:ascii="Arial" w:hAnsi="Arial" w:cs="Arial"/>
        </w:rPr>
        <w:t xml:space="preserve"> health needs or trauma-related overwhelm</w:t>
      </w:r>
      <w:r w:rsidR="00FD6608" w:rsidRPr="002439BE">
        <w:rPr>
          <w:rFonts w:ascii="Arial" w:hAnsi="Arial" w:cs="Arial"/>
        </w:rPr>
        <w:t>. Ongoing stress and mental health needs fuel a desire to end the process to focus on recovery. There can also be added c</w:t>
      </w:r>
      <w:r w:rsidRPr="002439BE">
        <w:rPr>
          <w:rFonts w:ascii="Arial" w:hAnsi="Arial" w:cs="Arial"/>
        </w:rPr>
        <w:t>ultural or community pressure</w:t>
      </w:r>
      <w:r w:rsidR="00FD6608" w:rsidRPr="002439BE">
        <w:rPr>
          <w:rFonts w:ascii="Arial" w:hAnsi="Arial" w:cs="Arial"/>
        </w:rPr>
        <w:t>, particularly in cases involving Honour Based Abuse which contribute to victim withdrawal.</w:t>
      </w:r>
    </w:p>
    <w:p w14:paraId="39D88E5A" w14:textId="41AB7903" w:rsidR="002439BE" w:rsidRDefault="00FD6608" w:rsidP="00FD6608">
      <w:pPr>
        <w:rPr>
          <w:rFonts w:ascii="Arial" w:hAnsi="Arial" w:cs="Arial"/>
        </w:rPr>
      </w:pPr>
      <w:r w:rsidRPr="002439BE">
        <w:rPr>
          <w:rFonts w:ascii="Arial" w:hAnsi="Arial" w:cs="Arial"/>
        </w:rPr>
        <w:t xml:space="preserve">Measures being implemented to address withdrawal arise from better understanding of the causes and barriers. Services in Leicester, Leicestershire &amp; Rutland (LLR) have implemented early Independent Domestic Violence/Sexual Violence and Child Sexual Violence Advisors (IDVA/ISVA/CHISVA) involvement. OPCC Commissioned ISVA/CHIVA teams are co-located at </w:t>
      </w:r>
      <w:r w:rsidR="007D43FF" w:rsidRPr="002439BE">
        <w:rPr>
          <w:rFonts w:ascii="Arial" w:hAnsi="Arial" w:cs="Arial"/>
        </w:rPr>
        <w:t>Juniper Lod</w:t>
      </w:r>
      <w:r w:rsidR="006B0FE1">
        <w:rPr>
          <w:rFonts w:ascii="Arial" w:hAnsi="Arial" w:cs="Arial"/>
        </w:rPr>
        <w:t>g</w:t>
      </w:r>
      <w:r w:rsidR="007D43FF" w:rsidRPr="002439BE">
        <w:rPr>
          <w:rFonts w:ascii="Arial" w:hAnsi="Arial" w:cs="Arial"/>
        </w:rPr>
        <w:t xml:space="preserve">e, </w:t>
      </w:r>
      <w:r w:rsidRPr="002439BE">
        <w:rPr>
          <w:rFonts w:ascii="Arial" w:hAnsi="Arial" w:cs="Arial"/>
        </w:rPr>
        <w:t>the Sexual Assault Referral Centre (SARC)</w:t>
      </w:r>
      <w:r w:rsidR="007D43FF" w:rsidRPr="002439BE">
        <w:rPr>
          <w:rFonts w:ascii="Arial" w:hAnsi="Arial" w:cs="Arial"/>
        </w:rPr>
        <w:t xml:space="preserve">. Co-location affords swift referral into the ISVA service following forensic and crisis interventions to develop clear support process from the beginning. The ISVA services set realistic expectations with victims and provide support through the victim journey from report to court </w:t>
      </w:r>
      <w:r w:rsidR="007D43FF" w:rsidRPr="002439BE">
        <w:rPr>
          <w:rFonts w:ascii="Arial" w:hAnsi="Arial" w:cs="Arial"/>
        </w:rPr>
        <w:lastRenderedPageBreak/>
        <w:t xml:space="preserve">and link with </w:t>
      </w:r>
      <w:r w:rsidR="00852E70" w:rsidRPr="002439BE">
        <w:rPr>
          <w:rFonts w:ascii="Arial" w:hAnsi="Arial" w:cs="Arial"/>
        </w:rPr>
        <w:t xml:space="preserve">the Witness Service to support victims on court room show arounds to ease anxiety leading up to trial. </w:t>
      </w:r>
    </w:p>
    <w:p w14:paraId="7DAE02C1" w14:textId="0360F661" w:rsidR="00FD6608" w:rsidRPr="002439BE" w:rsidRDefault="00852E70" w:rsidP="002439BE">
      <w:pPr>
        <w:pStyle w:val="ListParagraph"/>
        <w:numPr>
          <w:ilvl w:val="1"/>
          <w:numId w:val="1"/>
        </w:numPr>
        <w:rPr>
          <w:rFonts w:ascii="Arial" w:hAnsi="Arial" w:cs="Arial"/>
        </w:rPr>
      </w:pPr>
      <w:r w:rsidRPr="002439BE">
        <w:rPr>
          <w:rFonts w:ascii="Arial" w:hAnsi="Arial" w:cs="Arial"/>
        </w:rPr>
        <w:t>Q3 for 2025-26 for LLR show that Witness Service supported 537 victims, 35 young victims, 166 Vulnerable or Intimated Witnesses and facilitated 67 pre-trail meetings/visits.</w:t>
      </w:r>
    </w:p>
    <w:p w14:paraId="4DE09D51" w14:textId="1A701C41" w:rsidR="00F814EB" w:rsidRPr="002439BE" w:rsidRDefault="00852E70" w:rsidP="000F72A3">
      <w:pPr>
        <w:rPr>
          <w:rFonts w:ascii="Arial" w:hAnsi="Arial" w:cs="Arial"/>
        </w:rPr>
      </w:pPr>
      <w:r w:rsidRPr="002439BE">
        <w:rPr>
          <w:rFonts w:ascii="Arial" w:hAnsi="Arial" w:cs="Arial"/>
        </w:rPr>
        <w:t>Commissioned victim services set up c</w:t>
      </w:r>
      <w:r w:rsidR="00FD6608" w:rsidRPr="002439BE">
        <w:rPr>
          <w:rFonts w:ascii="Arial" w:hAnsi="Arial" w:cs="Arial"/>
        </w:rPr>
        <w:t>lear victim care contracts</w:t>
      </w:r>
      <w:r w:rsidRPr="002439BE">
        <w:rPr>
          <w:rFonts w:ascii="Arial" w:hAnsi="Arial" w:cs="Arial"/>
        </w:rPr>
        <w:t xml:space="preserve"> to ensure victims understand their rights and what services/support they can expect, followed by safety planning if required and victim stabilisation support to establish onward needs. Victim support providers and statutory authorities set up multi-agency case conferences for complex cases to ensure all support options have been e</w:t>
      </w:r>
      <w:r w:rsidR="00DA2C42" w:rsidRPr="002439BE">
        <w:rPr>
          <w:rFonts w:ascii="Arial" w:hAnsi="Arial" w:cs="Arial"/>
        </w:rPr>
        <w:t>xp</w:t>
      </w:r>
      <w:r w:rsidRPr="002439BE">
        <w:rPr>
          <w:rFonts w:ascii="Arial" w:hAnsi="Arial" w:cs="Arial"/>
        </w:rPr>
        <w:t>lored and victims have clearly outlined p</w:t>
      </w:r>
      <w:r w:rsidR="00DA2C42" w:rsidRPr="002439BE">
        <w:rPr>
          <w:rFonts w:ascii="Arial" w:hAnsi="Arial" w:cs="Arial"/>
        </w:rPr>
        <w:t>o</w:t>
      </w:r>
      <w:r w:rsidRPr="002439BE">
        <w:rPr>
          <w:rFonts w:ascii="Arial" w:hAnsi="Arial" w:cs="Arial"/>
        </w:rPr>
        <w:t>ints of contact with police officers w</w:t>
      </w:r>
      <w:r w:rsidR="00DA2C42" w:rsidRPr="002439BE">
        <w:rPr>
          <w:rFonts w:ascii="Arial" w:hAnsi="Arial" w:cs="Arial"/>
        </w:rPr>
        <w:t>ith</w:t>
      </w:r>
      <w:r w:rsidRPr="002439BE">
        <w:rPr>
          <w:rFonts w:ascii="Arial" w:hAnsi="Arial" w:cs="Arial"/>
        </w:rPr>
        <w:t xml:space="preserve"> regularly scheduled contact times to update on case progress. All victims are offered</w:t>
      </w:r>
      <w:r w:rsidR="00344892" w:rsidRPr="002439BE">
        <w:rPr>
          <w:rFonts w:ascii="Arial" w:hAnsi="Arial" w:cs="Arial"/>
        </w:rPr>
        <w:t xml:space="preserve"> </w:t>
      </w:r>
      <w:r w:rsidR="007D43FF" w:rsidRPr="002439BE">
        <w:rPr>
          <w:rFonts w:ascii="Arial" w:hAnsi="Arial" w:cs="Arial"/>
        </w:rPr>
        <w:t xml:space="preserve">ongoing support regardless of </w:t>
      </w:r>
      <w:r w:rsidR="00344892" w:rsidRPr="002439BE">
        <w:rPr>
          <w:rFonts w:ascii="Arial" w:hAnsi="Arial" w:cs="Arial"/>
        </w:rPr>
        <w:t xml:space="preserve">their </w:t>
      </w:r>
      <w:r w:rsidR="007D43FF" w:rsidRPr="002439BE">
        <w:rPr>
          <w:rFonts w:ascii="Arial" w:hAnsi="Arial" w:cs="Arial"/>
        </w:rPr>
        <w:t>participation</w:t>
      </w:r>
      <w:r w:rsidR="00344892" w:rsidRPr="002439BE">
        <w:rPr>
          <w:rFonts w:ascii="Arial" w:hAnsi="Arial" w:cs="Arial"/>
        </w:rPr>
        <w:t xml:space="preserve"> in the criminal justice system.</w:t>
      </w:r>
    </w:p>
    <w:p w14:paraId="4ED738AD" w14:textId="77777777" w:rsidR="00344892" w:rsidRPr="003909C7" w:rsidRDefault="000F72A3" w:rsidP="000F72A3">
      <w:pPr>
        <w:rPr>
          <w:rFonts w:ascii="Arial" w:hAnsi="Arial" w:cs="Arial"/>
          <w:b/>
          <w:bCs/>
          <w:color w:val="FF0000"/>
        </w:rPr>
      </w:pPr>
      <w:r w:rsidRPr="003909C7">
        <w:rPr>
          <w:rFonts w:ascii="Arial" w:hAnsi="Arial" w:cs="Arial"/>
          <w:b/>
          <w:bCs/>
          <w:color w:val="FF0000"/>
        </w:rPr>
        <w:t>How is victim feedback collected and used to improve engagement?</w:t>
      </w:r>
    </w:p>
    <w:p w14:paraId="43C80085" w14:textId="77777777" w:rsidR="00B830EF" w:rsidRDefault="00344892" w:rsidP="000F72A3">
      <w:pPr>
        <w:rPr>
          <w:rFonts w:ascii="Arial" w:hAnsi="Arial" w:cs="Arial"/>
        </w:rPr>
      </w:pPr>
      <w:r w:rsidRPr="002439BE">
        <w:rPr>
          <w:rFonts w:ascii="Arial" w:hAnsi="Arial" w:cs="Arial"/>
        </w:rPr>
        <w:t xml:space="preserve">Victims supported through the OPCC commissioned Victim First service are asked to complete exit surveys which measure the impact of support services, focusing on improved health and wellbeing, increased safety and perceptions of safety and feeling better equipped to cope and move forward. </w:t>
      </w:r>
    </w:p>
    <w:p w14:paraId="31991076" w14:textId="77777777" w:rsidR="00B830EF" w:rsidRDefault="00344892" w:rsidP="00B830EF">
      <w:pPr>
        <w:rPr>
          <w:rFonts w:ascii="Arial" w:hAnsi="Arial" w:cs="Arial"/>
        </w:rPr>
      </w:pPr>
      <w:r w:rsidRPr="00B830EF">
        <w:rPr>
          <w:rFonts w:ascii="Arial" w:hAnsi="Arial" w:cs="Arial"/>
        </w:rPr>
        <w:t>In Q3 2025/26 the service provided</w:t>
      </w:r>
      <w:r w:rsidR="00B830EF">
        <w:rPr>
          <w:rFonts w:ascii="Arial" w:hAnsi="Arial" w:cs="Arial"/>
        </w:rPr>
        <w:t>:</w:t>
      </w:r>
    </w:p>
    <w:p w14:paraId="322156B1" w14:textId="58195E8D" w:rsidR="00B830EF" w:rsidRPr="00B830EF" w:rsidRDefault="00344892" w:rsidP="00B830EF">
      <w:pPr>
        <w:pStyle w:val="ListParagraph"/>
        <w:numPr>
          <w:ilvl w:val="1"/>
          <w:numId w:val="1"/>
        </w:numPr>
        <w:rPr>
          <w:rFonts w:ascii="Arial" w:hAnsi="Arial" w:cs="Arial"/>
        </w:rPr>
      </w:pPr>
      <w:r w:rsidRPr="00B830EF">
        <w:rPr>
          <w:rFonts w:ascii="Arial" w:hAnsi="Arial" w:cs="Arial"/>
        </w:rPr>
        <w:t xml:space="preserve">1833 positive victim contacts (consented triage contacts) resulting in a 95.12% overall satisfaction rate. </w:t>
      </w:r>
    </w:p>
    <w:p w14:paraId="42165FE5" w14:textId="77777777" w:rsidR="00B830EF" w:rsidRDefault="00344892" w:rsidP="00B830EF">
      <w:pPr>
        <w:pStyle w:val="ListParagraph"/>
        <w:numPr>
          <w:ilvl w:val="1"/>
          <w:numId w:val="1"/>
        </w:numPr>
        <w:rPr>
          <w:rFonts w:ascii="Arial" w:hAnsi="Arial" w:cs="Arial"/>
        </w:rPr>
      </w:pPr>
      <w:r w:rsidRPr="00B830EF">
        <w:rPr>
          <w:rFonts w:ascii="Arial" w:hAnsi="Arial" w:cs="Arial"/>
        </w:rPr>
        <w:t xml:space="preserve">349 individuals felt better equipped to cope and build resilience </w:t>
      </w:r>
    </w:p>
    <w:p w14:paraId="6F372BB1" w14:textId="33A0FCFE" w:rsidR="00B830EF" w:rsidRDefault="00344892" w:rsidP="00B830EF">
      <w:pPr>
        <w:pStyle w:val="ListParagraph"/>
        <w:numPr>
          <w:ilvl w:val="1"/>
          <w:numId w:val="1"/>
        </w:numPr>
        <w:rPr>
          <w:rFonts w:ascii="Arial" w:hAnsi="Arial" w:cs="Arial"/>
        </w:rPr>
      </w:pPr>
      <w:r w:rsidRPr="00B830EF">
        <w:rPr>
          <w:rFonts w:ascii="Arial" w:hAnsi="Arial" w:cs="Arial"/>
        </w:rPr>
        <w:t xml:space="preserve">16 positive Restorative Justice outcomes were delivered. </w:t>
      </w:r>
    </w:p>
    <w:p w14:paraId="4F80F604" w14:textId="440782F1" w:rsidR="007D43FF" w:rsidRPr="00B830EF" w:rsidRDefault="00344892" w:rsidP="00B830EF">
      <w:pPr>
        <w:rPr>
          <w:rFonts w:ascii="Arial" w:hAnsi="Arial" w:cs="Arial"/>
        </w:rPr>
      </w:pPr>
      <w:r w:rsidRPr="00B830EF">
        <w:rPr>
          <w:rFonts w:ascii="Arial" w:hAnsi="Arial" w:cs="Arial"/>
        </w:rPr>
        <w:t>In the same quarter following review easy read sections were added to the Victim First website with downloadable resources and a specific 18–25-year-olds section was added to better meet the needs of this demographic. A stakeholder survey was conducted where partners found the referral processes easy to use and the team to be supportive and effective, while also highlighting some key areas to focus on, which will be planned into the 2026/27 improvement plan.</w:t>
      </w:r>
      <w:r w:rsidR="000F72A3" w:rsidRPr="00B830EF">
        <w:rPr>
          <w:rFonts w:ascii="Arial" w:hAnsi="Arial" w:cs="Arial"/>
        </w:rPr>
        <w:t xml:space="preserve"> </w:t>
      </w:r>
    </w:p>
    <w:p w14:paraId="3B27C9E1" w14:textId="0344532B" w:rsidR="00344892" w:rsidRPr="002439BE" w:rsidRDefault="00344892" w:rsidP="000F72A3">
      <w:pPr>
        <w:rPr>
          <w:rFonts w:ascii="Arial" w:hAnsi="Arial" w:cs="Arial"/>
        </w:rPr>
      </w:pPr>
      <w:r w:rsidRPr="002439BE">
        <w:rPr>
          <w:rFonts w:ascii="Arial" w:hAnsi="Arial" w:cs="Arial"/>
        </w:rPr>
        <w:t>The OPCC are utilising funding from the Ministry of Justice (MoJ) to establish Victim Voice Panels which further feed into collecting feedback and improving services. All service users at the Sexual Assault Referral Centre (SARC) are offered the option to complete an exit survey which records an annual 98% satisfaction rate. All victims of commissioned services are informed of their right to compl</w:t>
      </w:r>
      <w:r w:rsidR="00B830EF">
        <w:rPr>
          <w:rFonts w:ascii="Arial" w:hAnsi="Arial" w:cs="Arial"/>
        </w:rPr>
        <w:t>a</w:t>
      </w:r>
      <w:r w:rsidRPr="002439BE">
        <w:rPr>
          <w:rFonts w:ascii="Arial" w:hAnsi="Arial" w:cs="Arial"/>
        </w:rPr>
        <w:t>in and provided with information on how to complain. Each contract agreement with commissioned services states the services should attempt to resolve complaints in-house in the first instance, where this is not possible complaints are escalated to the OPCC Commissioning Team, to date in 2025/26 no complaints have been heard by the OPCC.</w:t>
      </w:r>
    </w:p>
    <w:p w14:paraId="0A4E80C2" w14:textId="77777777" w:rsidR="00B830EF" w:rsidRDefault="00344892" w:rsidP="000F72A3">
      <w:pPr>
        <w:rPr>
          <w:rFonts w:ascii="Arial" w:hAnsi="Arial" w:cs="Arial"/>
        </w:rPr>
      </w:pPr>
      <w:r w:rsidRPr="002439BE">
        <w:rPr>
          <w:rFonts w:ascii="Arial" w:hAnsi="Arial" w:cs="Arial"/>
        </w:rPr>
        <w:t xml:space="preserve">Feedback in year has highlighted </w:t>
      </w:r>
      <w:r w:rsidR="00C31D9F" w:rsidRPr="002439BE">
        <w:rPr>
          <w:rFonts w:ascii="Arial" w:hAnsi="Arial" w:cs="Arial"/>
        </w:rPr>
        <w:t>positive areas</w:t>
      </w:r>
      <w:r w:rsidR="00B830EF">
        <w:rPr>
          <w:rFonts w:ascii="Arial" w:hAnsi="Arial" w:cs="Arial"/>
        </w:rPr>
        <w:t>:</w:t>
      </w:r>
    </w:p>
    <w:p w14:paraId="7631A669" w14:textId="5716DE99" w:rsidR="00B830EF" w:rsidRDefault="00B830EF" w:rsidP="00B830EF">
      <w:pPr>
        <w:pStyle w:val="ListParagraph"/>
        <w:numPr>
          <w:ilvl w:val="1"/>
          <w:numId w:val="2"/>
        </w:numPr>
        <w:rPr>
          <w:rFonts w:ascii="Arial" w:hAnsi="Arial" w:cs="Arial"/>
        </w:rPr>
      </w:pPr>
      <w:r>
        <w:rPr>
          <w:rFonts w:ascii="Arial" w:hAnsi="Arial" w:cs="Arial"/>
        </w:rPr>
        <w:t>T</w:t>
      </w:r>
      <w:r w:rsidR="00344892" w:rsidRPr="00B830EF">
        <w:rPr>
          <w:rFonts w:ascii="Arial" w:hAnsi="Arial" w:cs="Arial"/>
        </w:rPr>
        <w:t xml:space="preserve">he value victims feel in having a single, consistent worker </w:t>
      </w:r>
    </w:p>
    <w:p w14:paraId="62F7F978" w14:textId="02AE23B8" w:rsidR="00B830EF" w:rsidRDefault="00B830EF" w:rsidP="00B830EF">
      <w:pPr>
        <w:pStyle w:val="ListParagraph"/>
        <w:numPr>
          <w:ilvl w:val="1"/>
          <w:numId w:val="2"/>
        </w:numPr>
        <w:rPr>
          <w:rFonts w:ascii="Arial" w:hAnsi="Arial" w:cs="Arial"/>
        </w:rPr>
      </w:pPr>
      <w:r>
        <w:rPr>
          <w:rFonts w:ascii="Arial" w:hAnsi="Arial" w:cs="Arial"/>
        </w:rPr>
        <w:t>A</w:t>
      </w:r>
      <w:r w:rsidR="00344892" w:rsidRPr="00B830EF">
        <w:rPr>
          <w:rFonts w:ascii="Arial" w:hAnsi="Arial" w:cs="Arial"/>
        </w:rPr>
        <w:t>ppreciation for face-to-face and flexible support</w:t>
      </w:r>
      <w:r w:rsidR="00C31D9F" w:rsidRPr="00B830EF">
        <w:rPr>
          <w:rFonts w:ascii="Arial" w:hAnsi="Arial" w:cs="Arial"/>
        </w:rPr>
        <w:t xml:space="preserve"> </w:t>
      </w:r>
    </w:p>
    <w:p w14:paraId="6C7DAE99" w14:textId="2D695AED" w:rsidR="00B830EF" w:rsidRDefault="00B830EF" w:rsidP="00B830EF">
      <w:pPr>
        <w:pStyle w:val="ListParagraph"/>
        <w:numPr>
          <w:ilvl w:val="1"/>
          <w:numId w:val="2"/>
        </w:numPr>
        <w:rPr>
          <w:rFonts w:ascii="Arial" w:hAnsi="Arial" w:cs="Arial"/>
        </w:rPr>
      </w:pPr>
      <w:r>
        <w:rPr>
          <w:rFonts w:ascii="Arial" w:hAnsi="Arial" w:cs="Arial"/>
        </w:rPr>
        <w:t>T</w:t>
      </w:r>
      <w:r w:rsidR="00C31D9F" w:rsidRPr="00B830EF">
        <w:rPr>
          <w:rFonts w:ascii="Arial" w:hAnsi="Arial" w:cs="Arial"/>
        </w:rPr>
        <w:t>he importance of trauma-informed responses</w:t>
      </w:r>
    </w:p>
    <w:p w14:paraId="008866F0" w14:textId="6CDC53C6" w:rsidR="00B830EF" w:rsidRDefault="00B830EF" w:rsidP="00B830EF">
      <w:pPr>
        <w:rPr>
          <w:rFonts w:ascii="Arial" w:hAnsi="Arial" w:cs="Arial"/>
        </w:rPr>
      </w:pPr>
      <w:r>
        <w:rPr>
          <w:rFonts w:ascii="Arial" w:hAnsi="Arial" w:cs="Arial"/>
        </w:rPr>
        <w:t>A</w:t>
      </w:r>
      <w:r w:rsidR="00C31D9F" w:rsidRPr="00B830EF">
        <w:rPr>
          <w:rFonts w:ascii="Arial" w:hAnsi="Arial" w:cs="Arial"/>
        </w:rPr>
        <w:t>reas for improvement</w:t>
      </w:r>
      <w:r>
        <w:rPr>
          <w:rFonts w:ascii="Arial" w:hAnsi="Arial" w:cs="Arial"/>
        </w:rPr>
        <w:t xml:space="preserve">: </w:t>
      </w:r>
    </w:p>
    <w:p w14:paraId="1BCD4ADA" w14:textId="2232942A" w:rsidR="00B830EF" w:rsidRDefault="00B830EF" w:rsidP="00801005">
      <w:pPr>
        <w:pStyle w:val="ListParagraph"/>
        <w:numPr>
          <w:ilvl w:val="1"/>
          <w:numId w:val="3"/>
        </w:numPr>
        <w:rPr>
          <w:rFonts w:ascii="Arial" w:hAnsi="Arial" w:cs="Arial"/>
        </w:rPr>
      </w:pPr>
      <w:r>
        <w:rPr>
          <w:rFonts w:ascii="Arial" w:hAnsi="Arial" w:cs="Arial"/>
        </w:rPr>
        <w:lastRenderedPageBreak/>
        <w:t xml:space="preserve">A </w:t>
      </w:r>
      <w:r w:rsidR="00C31D9F" w:rsidRPr="00B830EF">
        <w:rPr>
          <w:rFonts w:ascii="Arial" w:hAnsi="Arial" w:cs="Arial"/>
        </w:rPr>
        <w:t xml:space="preserve">need for clearer explanation of process, especially court processes </w:t>
      </w:r>
    </w:p>
    <w:p w14:paraId="549804BA" w14:textId="096AC4D6" w:rsidR="00344892" w:rsidRPr="00B830EF" w:rsidRDefault="00B830EF" w:rsidP="00801005">
      <w:pPr>
        <w:pStyle w:val="ListParagraph"/>
        <w:numPr>
          <w:ilvl w:val="1"/>
          <w:numId w:val="3"/>
        </w:numPr>
        <w:rPr>
          <w:rFonts w:ascii="Arial" w:hAnsi="Arial" w:cs="Arial"/>
        </w:rPr>
      </w:pPr>
      <w:r>
        <w:rPr>
          <w:rFonts w:ascii="Arial" w:hAnsi="Arial" w:cs="Arial"/>
        </w:rPr>
        <w:t xml:space="preserve">A </w:t>
      </w:r>
      <w:r w:rsidR="00C31D9F" w:rsidRPr="00B830EF">
        <w:rPr>
          <w:rFonts w:ascii="Arial" w:hAnsi="Arial" w:cs="Arial"/>
        </w:rPr>
        <w:t>desire in some instances for more timely police updates</w:t>
      </w:r>
    </w:p>
    <w:p w14:paraId="5B548E7D" w14:textId="2BAE3AAA" w:rsidR="00C31D9F" w:rsidRPr="002439BE" w:rsidRDefault="00C31D9F" w:rsidP="00C31D9F">
      <w:pPr>
        <w:rPr>
          <w:rFonts w:ascii="Arial" w:hAnsi="Arial" w:cs="Arial"/>
        </w:rPr>
      </w:pPr>
      <w:r w:rsidRPr="002439BE">
        <w:rPr>
          <w:rFonts w:ascii="Arial" w:hAnsi="Arial" w:cs="Arial"/>
        </w:rPr>
        <w:t>The biggest barrier to victim attrition and withdrawal of engagement is the time it takes for cases to reach court. This is especially prevalent in rape and serious sexual assault (RASSO) cases w</w:t>
      </w:r>
      <w:r w:rsidR="00AA5351" w:rsidRPr="002439BE">
        <w:rPr>
          <w:rFonts w:ascii="Arial" w:hAnsi="Arial" w:cs="Arial"/>
        </w:rPr>
        <w:t>h</w:t>
      </w:r>
      <w:r w:rsidRPr="002439BE">
        <w:rPr>
          <w:rFonts w:ascii="Arial" w:hAnsi="Arial" w:cs="Arial"/>
        </w:rPr>
        <w:t>ere the average wait time for trail</w:t>
      </w:r>
      <w:r w:rsidR="00AA5351" w:rsidRPr="002439BE">
        <w:rPr>
          <w:rFonts w:ascii="Arial" w:hAnsi="Arial" w:cs="Arial"/>
        </w:rPr>
        <w:t xml:space="preserve"> is significantly higher than other crime types. </w:t>
      </w:r>
      <w:r w:rsidRPr="002439BE">
        <w:rPr>
          <w:rFonts w:ascii="Arial" w:hAnsi="Arial" w:cs="Arial"/>
        </w:rPr>
        <w:t>Survivors of rape and other sexual offences are increasingly likely to face longer waiting times and last-minute delays before their case is heard in court, according to a research report released by Rape Crisis England &amp; Wales (RCEW).</w:t>
      </w:r>
    </w:p>
    <w:p w14:paraId="6DB5267E" w14:textId="77777777" w:rsidR="00AA5351" w:rsidRPr="002439BE" w:rsidRDefault="00C31D9F" w:rsidP="00AA5351">
      <w:pPr>
        <w:rPr>
          <w:rFonts w:ascii="Arial" w:hAnsi="Arial" w:cs="Arial"/>
        </w:rPr>
      </w:pPr>
      <w:r w:rsidRPr="002439BE">
        <w:rPr>
          <w:rFonts w:ascii="Arial" w:hAnsi="Arial" w:cs="Arial"/>
        </w:rPr>
        <w:t xml:space="preserve">The </w:t>
      </w:r>
      <w:r w:rsidR="00AA5351" w:rsidRPr="002439BE">
        <w:rPr>
          <w:rFonts w:ascii="Arial" w:hAnsi="Arial" w:cs="Arial"/>
        </w:rPr>
        <w:t xml:space="preserve">January 2026 updated </w:t>
      </w:r>
      <w:r w:rsidRPr="002439BE">
        <w:rPr>
          <w:rFonts w:ascii="Arial" w:hAnsi="Arial" w:cs="Arial"/>
        </w:rPr>
        <w:t xml:space="preserve">report, Living in Limbo, is the second one of its kind from RCEW and builds on the latest government data showing that </w:t>
      </w:r>
      <w:r w:rsidR="00AA5351" w:rsidRPr="002439BE">
        <w:rPr>
          <w:rFonts w:ascii="Arial" w:hAnsi="Arial" w:cs="Arial"/>
        </w:rPr>
        <w:t>at the end of September 2025 (Q3) there were 79,619 total cases outstanding (awaiting trial) in the Crown Court – a 26% increase in three years, and since the finalisation of their first report Breaking Point</w:t>
      </w:r>
      <w:r w:rsidRPr="002439BE">
        <w:rPr>
          <w:rFonts w:ascii="Arial" w:hAnsi="Arial" w:cs="Arial"/>
        </w:rPr>
        <w:t xml:space="preserve"> in 2022. </w:t>
      </w:r>
      <w:r w:rsidR="00AA5351" w:rsidRPr="002439BE">
        <w:rPr>
          <w:rFonts w:ascii="Arial" w:hAnsi="Arial" w:cs="Arial"/>
        </w:rPr>
        <w:t>Of these 79,619 cases:</w:t>
      </w:r>
    </w:p>
    <w:p w14:paraId="2A2D9E07" w14:textId="77777777" w:rsidR="00801005" w:rsidRDefault="00AA5351" w:rsidP="00801005">
      <w:pPr>
        <w:pStyle w:val="ListParagraph"/>
        <w:numPr>
          <w:ilvl w:val="1"/>
          <w:numId w:val="5"/>
        </w:numPr>
        <w:rPr>
          <w:rFonts w:ascii="Arial" w:hAnsi="Arial" w:cs="Arial"/>
        </w:rPr>
      </w:pPr>
      <w:r w:rsidRPr="00801005">
        <w:rPr>
          <w:rFonts w:ascii="Arial" w:hAnsi="Arial" w:cs="Arial"/>
        </w:rPr>
        <w:t>14,180 are sexual offence cases – a 77% increase since Q3 2022</w:t>
      </w:r>
    </w:p>
    <w:p w14:paraId="4A0E94BB" w14:textId="77777777" w:rsidR="00801005" w:rsidRDefault="00AA5351" w:rsidP="00801005">
      <w:pPr>
        <w:pStyle w:val="ListParagraph"/>
        <w:numPr>
          <w:ilvl w:val="1"/>
          <w:numId w:val="5"/>
        </w:numPr>
        <w:rPr>
          <w:rFonts w:ascii="Arial" w:hAnsi="Arial" w:cs="Arial"/>
        </w:rPr>
      </w:pPr>
      <w:r w:rsidRPr="00801005">
        <w:rPr>
          <w:rFonts w:ascii="Arial" w:hAnsi="Arial" w:cs="Arial"/>
        </w:rPr>
        <w:t>4,455 are adult rape cases – a 136% increase in three years.</w:t>
      </w:r>
    </w:p>
    <w:p w14:paraId="501277C8" w14:textId="2933FA1B" w:rsidR="00AA5351" w:rsidRPr="00801005" w:rsidRDefault="00AA5351" w:rsidP="00801005">
      <w:pPr>
        <w:pStyle w:val="ListParagraph"/>
        <w:numPr>
          <w:ilvl w:val="1"/>
          <w:numId w:val="5"/>
        </w:numPr>
        <w:rPr>
          <w:rFonts w:ascii="Arial" w:hAnsi="Arial" w:cs="Arial"/>
        </w:rPr>
      </w:pPr>
      <w:r w:rsidRPr="00801005">
        <w:rPr>
          <w:rFonts w:ascii="Arial" w:hAnsi="Arial" w:cs="Arial"/>
        </w:rPr>
        <w:t>1,874 are child rape cases – a 54% increase since Q3 2022.</w:t>
      </w:r>
    </w:p>
    <w:p w14:paraId="7836ABE2" w14:textId="4AB9AC44" w:rsidR="00C31D9F" w:rsidRPr="002439BE" w:rsidRDefault="00C31D9F" w:rsidP="00C31D9F">
      <w:pPr>
        <w:rPr>
          <w:rFonts w:ascii="Arial" w:hAnsi="Arial" w:cs="Arial"/>
        </w:rPr>
      </w:pPr>
      <w:r w:rsidRPr="002439BE">
        <w:rPr>
          <w:rFonts w:ascii="Arial" w:hAnsi="Arial" w:cs="Arial"/>
        </w:rPr>
        <w:t>Survivors of adult rape are currently made to wait an average of 499 days before the Crown Court will hear their trial in cases where a defendant has not been remanded. This is 192 days longer than parties will wait in all other offence types. Data obtained by RCEW via Freedom of Information requests reveals that the number of rape trials effectively heard in the Crown Court decreased by 71% between 2015 and 2023 – a total of 4,684 fewer cases. However, in that same period, the proportion of rape trials that were delayed at least once increased by 18%. FOI data also show that 1 in 3 rape trials were delayed in 2024, compared to 1 in 10 in 2015. The report features the experiences of survivors who have seen their case postponed up to six times in the Crown Court.</w:t>
      </w:r>
    </w:p>
    <w:p w14:paraId="2E1D3CC2" w14:textId="59F8B032" w:rsidR="007D43FF" w:rsidRPr="002439BE" w:rsidRDefault="00C31D9F" w:rsidP="000F72A3">
      <w:pPr>
        <w:rPr>
          <w:rFonts w:ascii="Arial" w:hAnsi="Arial" w:cs="Arial"/>
        </w:rPr>
      </w:pPr>
      <w:r w:rsidRPr="002439BE">
        <w:rPr>
          <w:rFonts w:ascii="Arial" w:hAnsi="Arial" w:cs="Arial"/>
        </w:rPr>
        <w:t>These issues are outside the control of the Police, the OPCC and commissioned support services. The delays and subsequent consequences on victim withdrawal have been represented to the courts, at the time of report writing we are awaiting government next steps to address this.</w:t>
      </w:r>
    </w:p>
    <w:p w14:paraId="299C7172" w14:textId="6B890F2F" w:rsidR="000F72A3" w:rsidRPr="003909C7" w:rsidRDefault="000F72A3" w:rsidP="000F72A3">
      <w:pPr>
        <w:rPr>
          <w:rFonts w:ascii="Arial" w:hAnsi="Arial" w:cs="Arial"/>
          <w:color w:val="FF0000"/>
        </w:rPr>
      </w:pPr>
      <w:r w:rsidRPr="003909C7">
        <w:rPr>
          <w:rFonts w:ascii="Arial" w:hAnsi="Arial" w:cs="Arial"/>
          <w:b/>
          <w:bCs/>
          <w:color w:val="FF0000"/>
        </w:rPr>
        <w:t>What referral pathways exist between police and specialist support organisations (Refuge, Women’s Aid, etc.)?</w:t>
      </w:r>
      <w:r w:rsidRPr="003909C7">
        <w:rPr>
          <w:rFonts w:ascii="Arial" w:hAnsi="Arial" w:cs="Arial"/>
          <w:color w:val="FF0000"/>
        </w:rPr>
        <w:t xml:space="preserve"> </w:t>
      </w:r>
    </w:p>
    <w:p w14:paraId="7BFE1E32" w14:textId="77777777" w:rsidR="00801005" w:rsidRDefault="00C31D9F" w:rsidP="000F72A3">
      <w:pPr>
        <w:rPr>
          <w:rFonts w:ascii="Arial" w:hAnsi="Arial" w:cs="Arial"/>
        </w:rPr>
      </w:pPr>
      <w:r w:rsidRPr="002439BE">
        <w:rPr>
          <w:rFonts w:ascii="Arial" w:hAnsi="Arial" w:cs="Arial"/>
        </w:rPr>
        <w:t xml:space="preserve">Leicestershire Police offer all victims the right to support in line with their responsibilities </w:t>
      </w:r>
      <w:r w:rsidR="00D05827" w:rsidRPr="002439BE">
        <w:rPr>
          <w:rFonts w:ascii="Arial" w:hAnsi="Arial" w:cs="Arial"/>
        </w:rPr>
        <w:t xml:space="preserve">in the </w:t>
      </w:r>
      <w:r w:rsidRPr="002439BE">
        <w:rPr>
          <w:rFonts w:ascii="Arial" w:hAnsi="Arial" w:cs="Arial"/>
        </w:rPr>
        <w:t>Victims Cde of Practice (VCoP)</w:t>
      </w:r>
      <w:r w:rsidR="00D05827" w:rsidRPr="002439BE">
        <w:rPr>
          <w:rFonts w:ascii="Arial" w:hAnsi="Arial" w:cs="Arial"/>
        </w:rPr>
        <w:t xml:space="preserve">. This means a consented referral to Victim First for all crime types except RASSO and </w:t>
      </w:r>
      <w:r w:rsidR="00107EAD" w:rsidRPr="002439BE">
        <w:rPr>
          <w:rFonts w:ascii="Arial" w:hAnsi="Arial" w:cs="Arial"/>
        </w:rPr>
        <w:t>medium</w:t>
      </w:r>
      <w:r w:rsidR="00D05827" w:rsidRPr="002439BE">
        <w:rPr>
          <w:rFonts w:ascii="Arial" w:hAnsi="Arial" w:cs="Arial"/>
        </w:rPr>
        <w:t xml:space="preserve"> and high-risk domestic abuse.</w:t>
      </w:r>
      <w:r w:rsidR="00107EAD" w:rsidRPr="002439BE">
        <w:rPr>
          <w:rFonts w:ascii="Arial" w:hAnsi="Arial" w:cs="Arial"/>
        </w:rPr>
        <w:t xml:space="preserve"> Victims must consent to the referral. </w:t>
      </w:r>
    </w:p>
    <w:p w14:paraId="04185C57" w14:textId="590A5224" w:rsidR="007D43FF" w:rsidRPr="002439BE" w:rsidRDefault="00107EAD" w:rsidP="000F72A3">
      <w:pPr>
        <w:rPr>
          <w:rFonts w:ascii="Arial" w:hAnsi="Arial" w:cs="Arial"/>
        </w:rPr>
      </w:pPr>
      <w:r w:rsidRPr="002439BE">
        <w:rPr>
          <w:rFonts w:ascii="Arial" w:hAnsi="Arial" w:cs="Arial"/>
        </w:rPr>
        <w:t>Where there are repeat victims, especially of domestic abuse that do not consent to commissioned services contact, the OPCC provide funding to the Police to employ two restricted duty officers who can follow up where need is identified (Police do not need consent to contact a victim, where commissioned services do). All Police Officers can complete a DASH Form - DASH (Domestic Abuse, Stalking, and 'Honour'-Based Violence) risk assessment form is a, typically 24-question, evidence-based tool used by professionals in the UK to identify high-risk domestic abuse cases, determine if a MARAC (Multi-Agency Risk Assessment Conference) referral is needed, and facilitate, a consistent, shared understanding of risk. The DASH is a consent preferred referral tool, but where</w:t>
      </w:r>
      <w:r w:rsidRPr="002439BE">
        <w:t xml:space="preserve"> </w:t>
      </w:r>
      <w:r w:rsidRPr="002439BE">
        <w:rPr>
          <w:rFonts w:ascii="Arial" w:hAnsi="Arial" w:cs="Arial"/>
        </w:rPr>
        <w:t xml:space="preserve">high-risk situations </w:t>
      </w:r>
      <w:r w:rsidR="00AA5351" w:rsidRPr="002439BE">
        <w:rPr>
          <w:rFonts w:ascii="Arial" w:hAnsi="Arial" w:cs="Arial"/>
        </w:rPr>
        <w:t>exist</w:t>
      </w:r>
      <w:r w:rsidRPr="002439BE">
        <w:rPr>
          <w:rFonts w:ascii="Arial" w:hAnsi="Arial" w:cs="Arial"/>
        </w:rPr>
        <w:t xml:space="preserve"> (14+ ticks or professional judgment), information can be shared with, MARAC and other agencies without consent to, prevent serious harm. </w:t>
      </w:r>
      <w:r w:rsidR="007A6B0E" w:rsidRPr="002439BE">
        <w:rPr>
          <w:rFonts w:ascii="Arial" w:hAnsi="Arial" w:cs="Arial"/>
        </w:rPr>
        <w:t xml:space="preserve">The DASH makes the </w:t>
      </w:r>
      <w:r w:rsidR="007A6B0E" w:rsidRPr="002439BE">
        <w:rPr>
          <w:rFonts w:ascii="Arial" w:hAnsi="Arial" w:cs="Arial"/>
        </w:rPr>
        <w:lastRenderedPageBreak/>
        <w:t>referral to specialist commissioned Domestic Abuse services, who will then support the victim holistically, including housing support, safety planning and refuge accommodation if required.</w:t>
      </w:r>
    </w:p>
    <w:p w14:paraId="5668DB88" w14:textId="6A2BF61E" w:rsidR="007A6B0E" w:rsidRPr="002439BE" w:rsidRDefault="007A6B0E" w:rsidP="007A6B0E">
      <w:pPr>
        <w:rPr>
          <w:rFonts w:ascii="Arial" w:hAnsi="Arial" w:cs="Arial"/>
        </w:rPr>
      </w:pPr>
      <w:r w:rsidRPr="002439BE">
        <w:rPr>
          <w:rFonts w:ascii="Arial" w:hAnsi="Arial" w:cs="Arial"/>
        </w:rPr>
        <w:t>Leicestershire Police will in the coming months be moving from the DASH risk assessment to the new Domestic Abuse Risk Assessment (DARA)</w:t>
      </w:r>
      <w:r w:rsidR="006656DB" w:rsidRPr="002439BE">
        <w:rPr>
          <w:rFonts w:ascii="Arial" w:hAnsi="Arial" w:cs="Arial"/>
        </w:rPr>
        <w:t xml:space="preserve"> tool</w:t>
      </w:r>
      <w:r w:rsidRPr="002439BE">
        <w:rPr>
          <w:rFonts w:ascii="Arial" w:hAnsi="Arial" w:cs="Arial"/>
        </w:rPr>
        <w:t>. This national change will improve how the Police understand and respond to domestic abuse. The Police are making the change because DASH has been used for over a decade, but national reviews show it no longer reflects current best practice. Feedback from victims and frontline officers has highlighted that DASH can feel like a tick</w:t>
      </w:r>
      <w:r w:rsidRPr="002439BE">
        <w:rPr>
          <w:rFonts w:ascii="Cambria Math" w:hAnsi="Cambria Math" w:cs="Cambria Math"/>
        </w:rPr>
        <w:t>‑</w:t>
      </w:r>
      <w:r w:rsidRPr="002439BE">
        <w:rPr>
          <w:rFonts w:ascii="Arial" w:hAnsi="Arial" w:cs="Arial"/>
        </w:rPr>
        <w:t>box exercise and does not fully capture coercive control, which sits at the heart of many abusive relationships. DARA is a conversation</w:t>
      </w:r>
      <w:r w:rsidRPr="002439BE">
        <w:rPr>
          <w:rFonts w:ascii="Cambria Math" w:hAnsi="Cambria Math" w:cs="Cambria Math"/>
        </w:rPr>
        <w:t>‑</w:t>
      </w:r>
      <w:r w:rsidRPr="002439BE">
        <w:rPr>
          <w:rFonts w:ascii="Arial" w:hAnsi="Arial" w:cs="Arial"/>
        </w:rPr>
        <w:t>led, trauma</w:t>
      </w:r>
      <w:r w:rsidRPr="002439BE">
        <w:rPr>
          <w:rFonts w:ascii="Cambria Math" w:hAnsi="Cambria Math" w:cs="Cambria Math"/>
        </w:rPr>
        <w:t>‑</w:t>
      </w:r>
      <w:r w:rsidRPr="002439BE">
        <w:rPr>
          <w:rFonts w:ascii="Arial" w:hAnsi="Arial" w:cs="Arial"/>
        </w:rPr>
        <w:t xml:space="preserve">informed assessment designed to help officers explore patterns of behaviour, fear, </w:t>
      </w:r>
      <w:r w:rsidR="00AA5351" w:rsidRPr="002439BE">
        <w:rPr>
          <w:rFonts w:ascii="Arial" w:hAnsi="Arial" w:cs="Arial"/>
        </w:rPr>
        <w:t>control,</w:t>
      </w:r>
      <w:r w:rsidRPr="002439BE">
        <w:rPr>
          <w:rFonts w:ascii="Arial" w:hAnsi="Arial" w:cs="Arial"/>
        </w:rPr>
        <w:t xml:space="preserve"> and escalation. It supports structured professional judgement, allowing officers to assess risk more naturally and effectively.</w:t>
      </w:r>
    </w:p>
    <w:p w14:paraId="159F011B" w14:textId="73BFC6BE" w:rsidR="007A6B0E" w:rsidRPr="002439BE" w:rsidRDefault="007A6B0E" w:rsidP="007A6B0E">
      <w:pPr>
        <w:rPr>
          <w:rFonts w:ascii="Arial" w:hAnsi="Arial" w:cs="Arial"/>
        </w:rPr>
      </w:pPr>
      <w:r w:rsidRPr="002439BE">
        <w:rPr>
          <w:rFonts w:ascii="Arial" w:hAnsi="Arial" w:cs="Arial"/>
        </w:rPr>
        <w:t>The benefits of the new DARA system to victims include, a more supportive experience for victims, clearer identification of coercive control, less duplication for staff and more intuitive questions, stronger evidence capture, and better safeguarding decisions and a consistent national model aligned to the VAWG strategy and Op Soteria.</w:t>
      </w:r>
    </w:p>
    <w:p w14:paraId="48DBA466" w14:textId="77777777" w:rsidR="00801005" w:rsidRDefault="009F4014" w:rsidP="000F72A3">
      <w:pPr>
        <w:rPr>
          <w:rFonts w:ascii="Arial" w:hAnsi="Arial" w:cs="Arial"/>
        </w:rPr>
      </w:pPr>
      <w:r w:rsidRPr="002439BE">
        <w:rPr>
          <w:rFonts w:ascii="Arial" w:hAnsi="Arial" w:cs="Arial"/>
        </w:rPr>
        <w:t>Areas for improvement in for referral pathways include</w:t>
      </w:r>
      <w:r w:rsidR="00801005">
        <w:rPr>
          <w:rFonts w:ascii="Arial" w:hAnsi="Arial" w:cs="Arial"/>
        </w:rPr>
        <w:t xml:space="preserve">: </w:t>
      </w:r>
    </w:p>
    <w:p w14:paraId="6DF0FEC0" w14:textId="77777777" w:rsidR="00801005" w:rsidRDefault="00801005" w:rsidP="00801005">
      <w:pPr>
        <w:pStyle w:val="ListParagraph"/>
        <w:numPr>
          <w:ilvl w:val="1"/>
          <w:numId w:val="7"/>
        </w:numPr>
        <w:rPr>
          <w:rFonts w:ascii="Arial" w:hAnsi="Arial" w:cs="Arial"/>
        </w:rPr>
      </w:pPr>
      <w:r>
        <w:rPr>
          <w:rFonts w:ascii="Arial" w:hAnsi="Arial" w:cs="Arial"/>
        </w:rPr>
        <w:t>R</w:t>
      </w:r>
      <w:r w:rsidR="009F4014" w:rsidRPr="00801005">
        <w:rPr>
          <w:rFonts w:ascii="Arial" w:hAnsi="Arial" w:cs="Arial"/>
        </w:rPr>
        <w:t>eferrals that are incomplete or missing key victim information</w:t>
      </w:r>
    </w:p>
    <w:p w14:paraId="2D0CEF9F" w14:textId="77777777" w:rsidR="00801005" w:rsidRDefault="00801005" w:rsidP="00801005">
      <w:pPr>
        <w:pStyle w:val="ListParagraph"/>
        <w:numPr>
          <w:ilvl w:val="1"/>
          <w:numId w:val="7"/>
        </w:numPr>
        <w:rPr>
          <w:rFonts w:ascii="Arial" w:hAnsi="Arial" w:cs="Arial"/>
        </w:rPr>
      </w:pPr>
      <w:r>
        <w:rPr>
          <w:rFonts w:ascii="Arial" w:hAnsi="Arial" w:cs="Arial"/>
        </w:rPr>
        <w:t>V</w:t>
      </w:r>
      <w:r w:rsidR="009F4014" w:rsidRPr="00801005">
        <w:rPr>
          <w:rFonts w:ascii="Arial" w:hAnsi="Arial" w:cs="Arial"/>
        </w:rPr>
        <w:t xml:space="preserve">ariation in referral quality across teams; specialist teams fully understand all referral pathways </w:t>
      </w:r>
      <w:r w:rsidR="006656DB" w:rsidRPr="00801005">
        <w:rPr>
          <w:rFonts w:ascii="Arial" w:hAnsi="Arial" w:cs="Arial"/>
        </w:rPr>
        <w:t>whereas</w:t>
      </w:r>
      <w:r w:rsidR="009F4014" w:rsidRPr="00801005">
        <w:rPr>
          <w:rFonts w:ascii="Arial" w:hAnsi="Arial" w:cs="Arial"/>
        </w:rPr>
        <w:t xml:space="preserve"> cases managed in the first instance by response teams may not</w:t>
      </w:r>
      <w:r>
        <w:rPr>
          <w:rFonts w:ascii="Arial" w:hAnsi="Arial" w:cs="Arial"/>
        </w:rPr>
        <w:t xml:space="preserve">. </w:t>
      </w:r>
    </w:p>
    <w:p w14:paraId="337D7DEA" w14:textId="2DA555F0" w:rsidR="007D43FF" w:rsidRPr="00801005" w:rsidRDefault="00801005" w:rsidP="00801005">
      <w:pPr>
        <w:pStyle w:val="ListParagraph"/>
        <w:numPr>
          <w:ilvl w:val="1"/>
          <w:numId w:val="7"/>
        </w:numPr>
        <w:rPr>
          <w:rFonts w:ascii="Arial" w:hAnsi="Arial" w:cs="Arial"/>
        </w:rPr>
      </w:pPr>
      <w:r>
        <w:rPr>
          <w:rFonts w:ascii="Arial" w:hAnsi="Arial" w:cs="Arial"/>
        </w:rPr>
        <w:t>C</w:t>
      </w:r>
      <w:r w:rsidR="009F4014" w:rsidRPr="00801005">
        <w:rPr>
          <w:rFonts w:ascii="Arial" w:hAnsi="Arial" w:cs="Arial"/>
        </w:rPr>
        <w:t xml:space="preserve">apacity can </w:t>
      </w:r>
      <w:r>
        <w:rPr>
          <w:rFonts w:ascii="Arial" w:hAnsi="Arial" w:cs="Arial"/>
        </w:rPr>
        <w:t xml:space="preserve">also </w:t>
      </w:r>
      <w:r w:rsidR="009F4014" w:rsidRPr="00801005">
        <w:rPr>
          <w:rFonts w:ascii="Arial" w:hAnsi="Arial" w:cs="Arial"/>
        </w:rPr>
        <w:t xml:space="preserve">impact timely risk assessments. </w:t>
      </w:r>
    </w:p>
    <w:p w14:paraId="71B8DEBB" w14:textId="534A6F07" w:rsidR="000F72A3" w:rsidRPr="003909C7" w:rsidRDefault="000F72A3" w:rsidP="000F72A3">
      <w:pPr>
        <w:rPr>
          <w:rFonts w:ascii="Arial" w:hAnsi="Arial" w:cs="Arial"/>
          <w:color w:val="FF0000"/>
        </w:rPr>
      </w:pPr>
      <w:r w:rsidRPr="003909C7">
        <w:rPr>
          <w:rFonts w:ascii="Arial" w:hAnsi="Arial" w:cs="Arial"/>
          <w:b/>
          <w:bCs/>
          <w:color w:val="FF0000"/>
        </w:rPr>
        <w:t>How does the force ensure trauma informed, face to face support throughout the CJS journey?</w:t>
      </w:r>
      <w:r w:rsidRPr="003909C7">
        <w:rPr>
          <w:rFonts w:ascii="Arial" w:hAnsi="Arial" w:cs="Arial"/>
          <w:color w:val="FF0000"/>
        </w:rPr>
        <w:t xml:space="preserve"> </w:t>
      </w:r>
    </w:p>
    <w:p w14:paraId="699248BD" w14:textId="195040CE" w:rsidR="007A6B0E" w:rsidRPr="002439BE" w:rsidRDefault="007A6B0E" w:rsidP="000F72A3">
      <w:pPr>
        <w:rPr>
          <w:rFonts w:ascii="Arial" w:hAnsi="Arial" w:cs="Arial"/>
        </w:rPr>
      </w:pPr>
      <w:r w:rsidRPr="002439BE">
        <w:rPr>
          <w:rFonts w:ascii="Arial" w:hAnsi="Arial" w:cs="Arial"/>
        </w:rPr>
        <w:t>The new DARA assessment system will help ensure a more trauma-informed initial assessment and referral to specialist support. The questions asked and responses given will enable support services to tailor support from entry rather re-traumatising by duplicating assessments.</w:t>
      </w:r>
    </w:p>
    <w:p w14:paraId="36D2D54F" w14:textId="520C18F4" w:rsidR="009F4014" w:rsidRPr="002439BE" w:rsidRDefault="009F4014" w:rsidP="000F72A3">
      <w:pPr>
        <w:rPr>
          <w:rFonts w:ascii="Arial" w:hAnsi="Arial" w:cs="Arial"/>
        </w:rPr>
      </w:pPr>
      <w:r w:rsidRPr="002439BE">
        <w:rPr>
          <w:rFonts w:ascii="Arial" w:hAnsi="Arial" w:cs="Arial"/>
        </w:rPr>
        <w:t>Trauma-informed practice is a core expectation of all commissioned services and partners. The force can support this through Independent Sexual Violence Advisors (ISVA) or Independent Domestic Abuse Advisors (IDVA) attending police interviews, Achieving Best Evidence (ABE) sessions and supporting victims in court hearings. The SARC offers Video Recorded Interview rooms so that victims can be police interviewed in a trauma-informed environment, with Crisis Worker support.</w:t>
      </w:r>
    </w:p>
    <w:p w14:paraId="1B8A3950" w14:textId="0D6DD167" w:rsidR="0016298F" w:rsidRPr="002439BE" w:rsidRDefault="0016298F" w:rsidP="0016298F">
      <w:pPr>
        <w:rPr>
          <w:rFonts w:ascii="Arial" w:hAnsi="Arial" w:cs="Arial"/>
        </w:rPr>
      </w:pPr>
      <w:r w:rsidRPr="002439BE">
        <w:rPr>
          <w:rFonts w:ascii="Arial" w:hAnsi="Arial" w:cs="Arial"/>
        </w:rPr>
        <w:t>Operation Soteria is a UK Home Office-funded research and change programme launched in 2021 to transform how police and prosecutors investigate rape and serious sexual offences (RASSO). It focuses on suspect behaviour, victim support, and digital forensics, aiming to increase conviction rates via a new National Operating Model. The national operating model for investigating rape and serious sexual offences, based on Op Soteria principles embeds practice that is victim-centred, suspect-</w:t>
      </w:r>
      <w:r w:rsidR="00AA5351" w:rsidRPr="002439BE">
        <w:rPr>
          <w:rFonts w:ascii="Arial" w:hAnsi="Arial" w:cs="Arial"/>
        </w:rPr>
        <w:t>focused,</w:t>
      </w:r>
      <w:r w:rsidRPr="002439BE">
        <w:rPr>
          <w:rFonts w:ascii="Arial" w:hAnsi="Arial" w:cs="Arial"/>
        </w:rPr>
        <w:t xml:space="preserve"> and context-led and offers guidance and tools to support officers at every stage of their investigation.  </w:t>
      </w:r>
    </w:p>
    <w:p w14:paraId="7C971521" w14:textId="284AF358" w:rsidR="0016298F" w:rsidRPr="002439BE" w:rsidRDefault="0016298F" w:rsidP="0016298F">
      <w:pPr>
        <w:rPr>
          <w:rFonts w:ascii="Arial" w:hAnsi="Arial" w:cs="Arial"/>
        </w:rPr>
      </w:pPr>
      <w:r w:rsidRPr="002439BE">
        <w:rPr>
          <w:rFonts w:ascii="Arial" w:hAnsi="Arial" w:cs="Arial"/>
        </w:rPr>
        <w:t xml:space="preserve">Victim-centred -The principle of victim-centred in the national operating model underscores the importance of centring victim rights and needs throughout the investigation process. In </w:t>
      </w:r>
      <w:r w:rsidRPr="002439BE">
        <w:rPr>
          <w:rFonts w:ascii="Arial" w:hAnsi="Arial" w:cs="Arial"/>
        </w:rPr>
        <w:lastRenderedPageBreak/>
        <w:t>doing so, the model ensures that their voices, experiences, decisions and rights are respected and valued.</w:t>
      </w:r>
    </w:p>
    <w:p w14:paraId="6FF106D6" w14:textId="4389E5E6" w:rsidR="0016298F" w:rsidRPr="002439BE" w:rsidRDefault="0016298F" w:rsidP="0016298F">
      <w:pPr>
        <w:rPr>
          <w:rFonts w:ascii="Arial" w:hAnsi="Arial" w:cs="Arial"/>
        </w:rPr>
      </w:pPr>
      <w:r w:rsidRPr="002439BE">
        <w:rPr>
          <w:rFonts w:ascii="Arial" w:hAnsi="Arial" w:cs="Arial"/>
        </w:rPr>
        <w:t>Suspect-focused - Specialist knowledge of sexual offending behaviour and its impact on victims informs RASSO investigations helps prevent offending and reoffending. Officers are bound to act consistently with the human rights of suspects and victims, as set out in the European Convention on Human Rights (ECHR) and incorporated into domestic law by the Human Rights Act (HRA) 1998. The suspect-focused principle emphasises the commitment to holding perpetrators accountable for their crimes by collecting all evidence relevant to the alleged offending.</w:t>
      </w:r>
    </w:p>
    <w:p w14:paraId="646E9E6C" w14:textId="7CB85BE2" w:rsidR="007D43FF" w:rsidRPr="002439BE" w:rsidRDefault="0016298F" w:rsidP="000F72A3">
      <w:pPr>
        <w:rPr>
          <w:rFonts w:ascii="Arial" w:hAnsi="Arial" w:cs="Arial"/>
        </w:rPr>
      </w:pPr>
      <w:r w:rsidRPr="002439BE">
        <w:rPr>
          <w:rFonts w:ascii="Arial" w:hAnsi="Arial" w:cs="Arial"/>
        </w:rPr>
        <w:t xml:space="preserve">Context-led - Officers take the context of the offence into consideration from the moment the offence is disclosed to police. This includes the victim-suspect relationship context, victim context, including whether they want an investigation and suspect context, uncovered through a suspect-focused investigation. The national College of Policing have produced toolkits and guidance to support the police in carrying out trauma-informed investigations based on the Op Soteria principles. </w:t>
      </w:r>
    </w:p>
    <w:p w14:paraId="5C458E3D" w14:textId="732B0D1C" w:rsidR="000F72A3" w:rsidRPr="003909C7" w:rsidRDefault="000F72A3" w:rsidP="000F72A3">
      <w:pPr>
        <w:rPr>
          <w:rFonts w:ascii="Arial" w:hAnsi="Arial" w:cs="Arial"/>
          <w:b/>
          <w:bCs/>
          <w:color w:val="FF0000"/>
        </w:rPr>
      </w:pPr>
      <w:r w:rsidRPr="003909C7">
        <w:rPr>
          <w:rFonts w:ascii="Arial" w:hAnsi="Arial" w:cs="Arial"/>
          <w:b/>
          <w:bCs/>
          <w:color w:val="FF0000"/>
        </w:rPr>
        <w:t>What does national and local data show about the use and effectiveness of Claire’s Law (DVDS), and how is it being applied in LLR?</w:t>
      </w:r>
    </w:p>
    <w:p w14:paraId="0AAC9A26" w14:textId="26655269" w:rsidR="0016298F" w:rsidRPr="002439BE" w:rsidRDefault="0016298F" w:rsidP="0016298F">
      <w:pPr>
        <w:rPr>
          <w:rFonts w:ascii="Arial" w:hAnsi="Arial" w:cs="Arial"/>
        </w:rPr>
      </w:pPr>
      <w:r w:rsidRPr="002439BE">
        <w:rPr>
          <w:rFonts w:ascii="Arial" w:hAnsi="Arial" w:cs="Arial"/>
        </w:rPr>
        <w:t>The Domestic Violence Disclosure Scheme (DVDS) allows:</w:t>
      </w:r>
    </w:p>
    <w:p w14:paraId="1AA253B0" w14:textId="5331BF12" w:rsidR="0016298F" w:rsidRPr="002439BE" w:rsidRDefault="0016298F" w:rsidP="0016298F">
      <w:pPr>
        <w:rPr>
          <w:rFonts w:ascii="Arial" w:hAnsi="Arial" w:cs="Arial"/>
        </w:rPr>
      </w:pPr>
      <w:r w:rsidRPr="002439BE">
        <w:rPr>
          <w:rFonts w:ascii="Arial" w:hAnsi="Arial" w:cs="Arial"/>
        </w:rPr>
        <w:t>•</w:t>
      </w:r>
      <w:r w:rsidRPr="002439BE">
        <w:rPr>
          <w:rFonts w:ascii="Arial" w:hAnsi="Arial" w:cs="Arial"/>
        </w:rPr>
        <w:tab/>
        <w:t>Right to Ask – any person may ask the police if their partner has a violent past</w:t>
      </w:r>
    </w:p>
    <w:p w14:paraId="55A2DC76" w14:textId="367C0987" w:rsidR="0016298F" w:rsidRPr="002439BE" w:rsidRDefault="0016298F" w:rsidP="0016298F">
      <w:pPr>
        <w:rPr>
          <w:rFonts w:ascii="Arial" w:hAnsi="Arial" w:cs="Arial"/>
        </w:rPr>
      </w:pPr>
      <w:r w:rsidRPr="002439BE">
        <w:rPr>
          <w:rFonts w:ascii="Arial" w:hAnsi="Arial" w:cs="Arial"/>
        </w:rPr>
        <w:t>•</w:t>
      </w:r>
      <w:r w:rsidRPr="002439BE">
        <w:rPr>
          <w:rFonts w:ascii="Arial" w:hAnsi="Arial" w:cs="Arial"/>
        </w:rPr>
        <w:tab/>
        <w:t>Right to Know – police may make a proactive disclosure to a person at risk</w:t>
      </w:r>
    </w:p>
    <w:p w14:paraId="4F8660C6" w14:textId="3540F0DC" w:rsidR="0016298F" w:rsidRPr="002439BE" w:rsidRDefault="0016298F" w:rsidP="0016298F">
      <w:pPr>
        <w:rPr>
          <w:rFonts w:ascii="Arial" w:hAnsi="Arial" w:cs="Arial"/>
        </w:rPr>
      </w:pPr>
      <w:r w:rsidRPr="002439BE">
        <w:rPr>
          <w:rFonts w:ascii="Arial" w:hAnsi="Arial" w:cs="Arial"/>
        </w:rPr>
        <w:t xml:space="preserve">The Public Protection Unit processes DVDS applications through multi agency panels that include IDVA involvement. </w:t>
      </w:r>
      <w:r w:rsidR="001B7FC1" w:rsidRPr="002439BE">
        <w:rPr>
          <w:rFonts w:ascii="Arial" w:hAnsi="Arial" w:cs="Arial"/>
        </w:rPr>
        <w:t>Observations from across the scheme show that Right to Know is typically used more often than Right to Ask. Increasing DVDS awareness remains a priority, and that DA/SV support effectiveness is linked to timely responses and follow up engagement. Positively it shows that IDVAs ensure disclosures lead to safeguarding referrals to protect and prevent further harm.</w:t>
      </w:r>
    </w:p>
    <w:p w14:paraId="1764F51A" w14:textId="1CB85FD5" w:rsidR="00392849" w:rsidRPr="002439BE" w:rsidRDefault="00392849" w:rsidP="00392849">
      <w:pPr>
        <w:rPr>
          <w:rFonts w:ascii="Arial" w:hAnsi="Arial" w:cs="Arial"/>
        </w:rPr>
      </w:pPr>
      <w:r w:rsidRPr="002439BE">
        <w:rPr>
          <w:rFonts w:ascii="Arial" w:hAnsi="Arial" w:cs="Arial"/>
        </w:rPr>
        <w:t>Evidence from the international domestic violence disclosure scheme study 2024-5, conducted by the University of Essex and The British Academy stated that overall, the DVDS is effective. 82% of victims and survivors are very/satisfied with the service they receive. Applicants who receive new information find it empowering and helpful with safety: 97% of them would recommend the DVDS to others. It also found that automating searches of police records for relevant information could significantly reduce the burden on police of the rising demand for disclosures, which reached 58,000 applications in 2024. The evidence of what is working shows that disclosures are telling victims and survivors new information about their partner: 69% of survey respondents knew something about their partner’s history of abuse before getting a disclosure; of those, 70% were told something new. The disclosure process is an opportunity to reach and support victims and survivors who have never sought help before. A disclosure can be a ‘reachable moment’ and empowering for victims and survivors if the process is supportive, victim-centred, and trauma-informed. It can also be isolating and terrifying if managed poorly.</w:t>
      </w:r>
    </w:p>
    <w:p w14:paraId="68FC8C85" w14:textId="718754F9" w:rsidR="00392849" w:rsidRPr="002439BE" w:rsidRDefault="00DD3B22" w:rsidP="00392849">
      <w:pPr>
        <w:rPr>
          <w:rFonts w:ascii="Arial" w:hAnsi="Arial" w:cs="Arial"/>
        </w:rPr>
      </w:pPr>
      <w:r w:rsidRPr="002439BE">
        <w:rPr>
          <w:rFonts w:ascii="Arial" w:hAnsi="Arial" w:cs="Arial"/>
        </w:rPr>
        <w:t xml:space="preserve">Locally in LLR, the Police can cross-reference DVDS with other risk factors, particularly on release from prison, so that key information such as severity of risk, those with No Fixed Address, those known to the substance use provider, those that are IOM or MAPPA (Integrated Offender Management and/or Multi-Agency Public Protection Arrangements), can be assessed to decide if further disclosure to victims is required. </w:t>
      </w:r>
    </w:p>
    <w:p w14:paraId="54CFBBD1" w14:textId="57032190" w:rsidR="0002330E" w:rsidRPr="002439BE" w:rsidRDefault="00DD3B22" w:rsidP="00D13B98">
      <w:pPr>
        <w:rPr>
          <w:rFonts w:ascii="Arial" w:hAnsi="Arial" w:cs="Arial"/>
        </w:rPr>
      </w:pPr>
      <w:r w:rsidRPr="002439BE">
        <w:rPr>
          <w:rFonts w:ascii="Arial" w:hAnsi="Arial" w:cs="Arial"/>
        </w:rPr>
        <w:lastRenderedPageBreak/>
        <w:t xml:space="preserve">Leicestershire Police can use GoodSAM for DVDS disclosures which works well for recipients. </w:t>
      </w:r>
      <w:r w:rsidR="00D13B98" w:rsidRPr="002439BE">
        <w:rPr>
          <w:rFonts w:ascii="Arial" w:hAnsi="Arial" w:cs="Arial"/>
        </w:rPr>
        <w:t>The GoodSAM app facilitates Video Consultations via mobile phones with no cost to the recipient, no data requirement and minimal on device trail. The GoodSAM app provides real-time AI transcription and translation for emergency services and callers, supporting over 140+ languages during live video calls. While the app interface itself is primarily in English, the communication tools allow, for example, a caller to speak their own language while the operator sees English subtitles. Improving tools to support the police to make better decisions when disclosing information through the DVDS or the stalking “Right to Know” scheme is included in the forces VAWG Delivery Plan 2026-29.</w:t>
      </w:r>
    </w:p>
    <w:p w14:paraId="6FD3CF7D" w14:textId="3C519614" w:rsidR="00DD3B22" w:rsidRPr="002439BE" w:rsidRDefault="00D13B98" w:rsidP="00D13B98">
      <w:pPr>
        <w:rPr>
          <w:rFonts w:ascii="Arial" w:hAnsi="Arial" w:cs="Arial"/>
        </w:rPr>
      </w:pPr>
      <w:r w:rsidRPr="002439BE">
        <w:rPr>
          <w:rFonts w:ascii="Arial" w:hAnsi="Arial" w:cs="Arial"/>
        </w:rPr>
        <w:t xml:space="preserve"> </w:t>
      </w:r>
    </w:p>
    <w:p w14:paraId="355F9868" w14:textId="77777777" w:rsidR="00FC4172" w:rsidRDefault="00FC4172"/>
    <w:sectPr w:rsidR="00FC4172" w:rsidSect="00837CC3">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B165" w14:textId="77777777" w:rsidR="00837CC3" w:rsidRDefault="00837CC3" w:rsidP="00837CC3">
      <w:pPr>
        <w:spacing w:after="0" w:line="240" w:lineRule="auto"/>
      </w:pPr>
      <w:r>
        <w:separator/>
      </w:r>
    </w:p>
  </w:endnote>
  <w:endnote w:type="continuationSeparator" w:id="0">
    <w:p w14:paraId="710AA70D" w14:textId="77777777" w:rsidR="00837CC3" w:rsidRDefault="00837CC3" w:rsidP="0083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02DC" w14:textId="77777777" w:rsidR="00837CC3" w:rsidRDefault="00837CC3" w:rsidP="00837CC3">
      <w:pPr>
        <w:spacing w:after="0" w:line="240" w:lineRule="auto"/>
      </w:pPr>
      <w:r>
        <w:separator/>
      </w:r>
    </w:p>
  </w:footnote>
  <w:footnote w:type="continuationSeparator" w:id="0">
    <w:p w14:paraId="54E6AF83" w14:textId="77777777" w:rsidR="00837CC3" w:rsidRDefault="00837CC3" w:rsidP="00837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E0AA" w14:textId="55BCEEA9" w:rsidR="00837CC3" w:rsidRDefault="00837CC3">
    <w:pPr>
      <w:pStyle w:val="Header"/>
    </w:pPr>
    <w:r>
      <w:rPr>
        <w:noProof/>
      </w:rPr>
      <w:drawing>
        <wp:anchor distT="0" distB="0" distL="114300" distR="114300" simplePos="0" relativeHeight="251659264" behindDoc="0" locked="0" layoutInCell="1" allowOverlap="1" wp14:anchorId="4C1CB06C" wp14:editId="2AD37EE8">
          <wp:simplePos x="0" y="0"/>
          <wp:positionH relativeFrom="rightMargin">
            <wp:posOffset>50800</wp:posOffset>
          </wp:positionH>
          <wp:positionV relativeFrom="paragraph">
            <wp:posOffset>-303742</wp:posOffset>
          </wp:positionV>
          <wp:extent cx="685509" cy="694690"/>
          <wp:effectExtent l="0" t="0" r="635" b="0"/>
          <wp:wrapNone/>
          <wp:docPr id="35" name="Picture 35" descr="A logo for a police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go for a police commissio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509"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8B8"/>
    <w:multiLevelType w:val="hybridMultilevel"/>
    <w:tmpl w:val="43CC53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241DD"/>
    <w:multiLevelType w:val="hybridMultilevel"/>
    <w:tmpl w:val="2EDC1E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916F7"/>
    <w:multiLevelType w:val="hybridMultilevel"/>
    <w:tmpl w:val="C0E48F6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C5731A"/>
    <w:multiLevelType w:val="hybridMultilevel"/>
    <w:tmpl w:val="E0EA2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A4B78"/>
    <w:multiLevelType w:val="hybridMultilevel"/>
    <w:tmpl w:val="FF9CB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E02F0"/>
    <w:multiLevelType w:val="hybridMultilevel"/>
    <w:tmpl w:val="EC6216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79D22C4"/>
    <w:multiLevelType w:val="hybridMultilevel"/>
    <w:tmpl w:val="B24A61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275851">
    <w:abstractNumId w:val="6"/>
  </w:num>
  <w:num w:numId="2" w16cid:durableId="1599942626">
    <w:abstractNumId w:val="1"/>
  </w:num>
  <w:num w:numId="3" w16cid:durableId="1517957797">
    <w:abstractNumId w:val="0"/>
  </w:num>
  <w:num w:numId="4" w16cid:durableId="2102027111">
    <w:abstractNumId w:val="3"/>
  </w:num>
  <w:num w:numId="5" w16cid:durableId="777605828">
    <w:abstractNumId w:val="2"/>
  </w:num>
  <w:num w:numId="6" w16cid:durableId="1414202383">
    <w:abstractNumId w:val="4"/>
  </w:num>
  <w:num w:numId="7" w16cid:durableId="1729067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A3"/>
    <w:rsid w:val="0002330E"/>
    <w:rsid w:val="0005038A"/>
    <w:rsid w:val="000F72A3"/>
    <w:rsid w:val="00107EAD"/>
    <w:rsid w:val="0016298F"/>
    <w:rsid w:val="001B7FC1"/>
    <w:rsid w:val="002439BE"/>
    <w:rsid w:val="002A08FF"/>
    <w:rsid w:val="002B3E48"/>
    <w:rsid w:val="00344892"/>
    <w:rsid w:val="003909C7"/>
    <w:rsid w:val="00392849"/>
    <w:rsid w:val="003C0B05"/>
    <w:rsid w:val="003F7BC7"/>
    <w:rsid w:val="00475EA9"/>
    <w:rsid w:val="004E2CE1"/>
    <w:rsid w:val="006656DB"/>
    <w:rsid w:val="006B0FE1"/>
    <w:rsid w:val="007A6B0E"/>
    <w:rsid w:val="007D43FF"/>
    <w:rsid w:val="007F4B21"/>
    <w:rsid w:val="00801005"/>
    <w:rsid w:val="00837CC3"/>
    <w:rsid w:val="00852E70"/>
    <w:rsid w:val="009F4014"/>
    <w:rsid w:val="00A251E7"/>
    <w:rsid w:val="00A81242"/>
    <w:rsid w:val="00AA5351"/>
    <w:rsid w:val="00B830EF"/>
    <w:rsid w:val="00BA0988"/>
    <w:rsid w:val="00C31D9F"/>
    <w:rsid w:val="00D05827"/>
    <w:rsid w:val="00D13B98"/>
    <w:rsid w:val="00D345C5"/>
    <w:rsid w:val="00DA2C42"/>
    <w:rsid w:val="00DD3B22"/>
    <w:rsid w:val="00DE2C8B"/>
    <w:rsid w:val="00E75EB8"/>
    <w:rsid w:val="00F814EB"/>
    <w:rsid w:val="00FC4172"/>
    <w:rsid w:val="00FD6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B0C5"/>
  <w15:chartTrackingRefBased/>
  <w15:docId w15:val="{3FD9429A-5CE9-42D3-917C-5DA9C78E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CC3"/>
  </w:style>
  <w:style w:type="paragraph" w:styleId="Footer">
    <w:name w:val="footer"/>
    <w:basedOn w:val="Normal"/>
    <w:link w:val="FooterChar"/>
    <w:uiPriority w:val="99"/>
    <w:unhideWhenUsed/>
    <w:rsid w:val="00837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CC3"/>
  </w:style>
  <w:style w:type="paragraph" w:styleId="ListParagraph">
    <w:name w:val="List Paragraph"/>
    <w:basedOn w:val="Normal"/>
    <w:uiPriority w:val="34"/>
    <w:qFormat/>
    <w:rsid w:val="00243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Peters (7488)</dc:creator>
  <cp:keywords/>
  <dc:description/>
  <cp:lastModifiedBy>Bethan Greasley (7812)</cp:lastModifiedBy>
  <cp:revision>12</cp:revision>
  <dcterms:created xsi:type="dcterms:W3CDTF">2026-03-16T08:27:00Z</dcterms:created>
  <dcterms:modified xsi:type="dcterms:W3CDTF">2026-03-16T15:28:00Z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f228e-d67e-4e3c-8add-5ac11aebedac_Enabled">
    <vt:lpwstr>true</vt:lpwstr>
  </property>
  <property fmtid="{D5CDD505-2E9C-101B-9397-08002B2CF9AE}" pid="3" name="MSIP_Label_86ff228e-d67e-4e3c-8add-5ac11aebedac_SetDate">
    <vt:lpwstr>2026-03-12T17:04:42Z</vt:lpwstr>
  </property>
  <property fmtid="{D5CDD505-2E9C-101B-9397-08002B2CF9AE}" pid="4" name="MSIP_Label_86ff228e-d67e-4e3c-8add-5ac11aebedac_Method">
    <vt:lpwstr>Standard</vt:lpwstr>
  </property>
  <property fmtid="{D5CDD505-2E9C-101B-9397-08002B2CF9AE}" pid="5" name="MSIP_Label_86ff228e-d67e-4e3c-8add-5ac11aebedac_Name">
    <vt:lpwstr>86ff228e-d67e-4e3c-8add-5ac11aebedac</vt:lpwstr>
  </property>
  <property fmtid="{D5CDD505-2E9C-101B-9397-08002B2CF9AE}" pid="6" name="MSIP_Label_86ff228e-d67e-4e3c-8add-5ac11aebedac_SiteId">
    <vt:lpwstr>6b0ff425-e5e2-4239-bd8b-91ba02b7940a</vt:lpwstr>
  </property>
  <property fmtid="{D5CDD505-2E9C-101B-9397-08002B2CF9AE}" pid="7" name="MSIP_Label_86ff228e-d67e-4e3c-8add-5ac11aebedac_ActionId">
    <vt:lpwstr>1b9d3459-969f-4224-bf0f-79602eb9ef71</vt:lpwstr>
  </property>
  <property fmtid="{D5CDD505-2E9C-101B-9397-08002B2CF9AE}" pid="8" name="MSIP_Label_86ff228e-d67e-4e3c-8add-5ac11aebedac_ContentBits">
    <vt:lpwstr>0</vt:lpwstr>
  </property>
</Properties>
</file>